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B4A8" w14:textId="6B09CBB8" w:rsidR="00CC361D" w:rsidRPr="000618F9" w:rsidRDefault="00FF15B7" w:rsidP="00CC361D">
      <w:pPr>
        <w:pStyle w:val="Default"/>
        <w:rPr>
          <w:iCs/>
        </w:rPr>
      </w:pPr>
      <w:r w:rsidRPr="000618F9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41923" wp14:editId="75F3C8C7">
            <wp:simplePos x="0" y="0"/>
            <wp:positionH relativeFrom="column">
              <wp:posOffset>2583180</wp:posOffset>
            </wp:positionH>
            <wp:positionV relativeFrom="paragraph">
              <wp:posOffset>28575</wp:posOffset>
            </wp:positionV>
            <wp:extent cx="633600" cy="950400"/>
            <wp:effectExtent l="0" t="0" r="0" b="2540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2894B" w14:textId="20F82756" w:rsidR="00465C8C" w:rsidRPr="00650F05" w:rsidRDefault="00465C8C" w:rsidP="00CC361D">
      <w:pPr>
        <w:pStyle w:val="Default"/>
        <w:rPr>
          <w:i/>
          <w:iCs/>
        </w:rPr>
      </w:pPr>
    </w:p>
    <w:p w14:paraId="0559CA42" w14:textId="32C19322" w:rsidR="00465C8C" w:rsidRPr="00650F05" w:rsidRDefault="00465C8C" w:rsidP="00CC361D">
      <w:pPr>
        <w:pStyle w:val="Default"/>
        <w:rPr>
          <w:i/>
          <w:iCs/>
        </w:rPr>
      </w:pPr>
    </w:p>
    <w:p w14:paraId="60B0E871" w14:textId="6AA0C0D5" w:rsidR="00465C8C" w:rsidRPr="00650F05" w:rsidRDefault="00465C8C" w:rsidP="00CC361D">
      <w:pPr>
        <w:pStyle w:val="Default"/>
        <w:rPr>
          <w:i/>
          <w:iCs/>
        </w:rPr>
      </w:pPr>
    </w:p>
    <w:p w14:paraId="7DD2262A" w14:textId="51465D1B" w:rsidR="00465C8C" w:rsidRPr="00650F05" w:rsidRDefault="00465C8C" w:rsidP="00CC361D">
      <w:pPr>
        <w:pStyle w:val="Default"/>
        <w:rPr>
          <w:i/>
          <w:iCs/>
        </w:rPr>
      </w:pPr>
    </w:p>
    <w:p w14:paraId="020F27C7" w14:textId="00EDFA29" w:rsidR="00465C8C" w:rsidRPr="00650F05" w:rsidRDefault="00465C8C" w:rsidP="00CC361D">
      <w:pPr>
        <w:pStyle w:val="Default"/>
        <w:rPr>
          <w:i/>
          <w:iCs/>
        </w:rPr>
      </w:pPr>
    </w:p>
    <w:p w14:paraId="1A759CFE" w14:textId="77777777" w:rsidR="00465C8C" w:rsidRPr="00650F05" w:rsidRDefault="00465C8C" w:rsidP="00CC361D">
      <w:pPr>
        <w:pStyle w:val="Default"/>
        <w:rPr>
          <w:i/>
          <w:iCs/>
        </w:rPr>
      </w:pPr>
    </w:p>
    <w:p w14:paraId="2D146962" w14:textId="77777777" w:rsidR="00465C8C" w:rsidRPr="00650F05" w:rsidRDefault="00465C8C" w:rsidP="00CC361D">
      <w:pPr>
        <w:pStyle w:val="Default"/>
        <w:rPr>
          <w:i/>
          <w:iCs/>
        </w:rPr>
      </w:pPr>
    </w:p>
    <w:p w14:paraId="031BAC6C" w14:textId="77777777" w:rsidR="00465C8C" w:rsidRPr="00650F05" w:rsidRDefault="00465C8C" w:rsidP="00CC361D">
      <w:pPr>
        <w:pStyle w:val="Default"/>
        <w:rPr>
          <w:i/>
          <w:iCs/>
        </w:rPr>
      </w:pPr>
    </w:p>
    <w:p w14:paraId="57B25A37" w14:textId="77777777" w:rsidR="00465C8C" w:rsidRPr="00650F05" w:rsidRDefault="00465C8C" w:rsidP="00CC361D">
      <w:pPr>
        <w:pStyle w:val="Default"/>
        <w:rPr>
          <w:i/>
          <w:iCs/>
        </w:rPr>
      </w:pPr>
    </w:p>
    <w:p w14:paraId="703BC58C" w14:textId="77777777" w:rsidR="00465C8C" w:rsidRPr="00650F05" w:rsidRDefault="00465C8C" w:rsidP="00CC361D">
      <w:pPr>
        <w:pStyle w:val="Default"/>
        <w:rPr>
          <w:i/>
          <w:iCs/>
        </w:rPr>
      </w:pPr>
    </w:p>
    <w:p w14:paraId="40168D56" w14:textId="77777777" w:rsidR="00465C8C" w:rsidRPr="00650F05" w:rsidRDefault="00465C8C" w:rsidP="00CC361D">
      <w:pPr>
        <w:pStyle w:val="Default"/>
        <w:rPr>
          <w:i/>
          <w:iCs/>
        </w:rPr>
      </w:pPr>
    </w:p>
    <w:p w14:paraId="3C38F149" w14:textId="77777777" w:rsidR="00465C8C" w:rsidRPr="00650F05" w:rsidRDefault="00465C8C" w:rsidP="00CC361D">
      <w:pPr>
        <w:pStyle w:val="Default"/>
        <w:rPr>
          <w:i/>
          <w:iCs/>
        </w:rPr>
      </w:pPr>
    </w:p>
    <w:p w14:paraId="6F8D5D93" w14:textId="77777777" w:rsidR="00465C8C" w:rsidRDefault="00465C8C" w:rsidP="00CC361D">
      <w:pPr>
        <w:pStyle w:val="Default"/>
        <w:rPr>
          <w:i/>
          <w:iCs/>
        </w:rPr>
      </w:pPr>
    </w:p>
    <w:p w14:paraId="1D4BCB5D" w14:textId="77777777" w:rsidR="006F368B" w:rsidRPr="00650F05" w:rsidRDefault="006F368B" w:rsidP="00CC361D">
      <w:pPr>
        <w:pStyle w:val="Default"/>
        <w:rPr>
          <w:i/>
          <w:iCs/>
        </w:rPr>
      </w:pPr>
    </w:p>
    <w:p w14:paraId="7FC5651B" w14:textId="77777777" w:rsidR="00465C8C" w:rsidRPr="00650F05" w:rsidRDefault="00465C8C" w:rsidP="00CC361D">
      <w:pPr>
        <w:pStyle w:val="Default"/>
        <w:rPr>
          <w:i/>
          <w:iCs/>
        </w:rPr>
      </w:pPr>
    </w:p>
    <w:p w14:paraId="52C4B119" w14:textId="77777777" w:rsidR="00465C8C" w:rsidRPr="00650F05" w:rsidRDefault="00465C8C" w:rsidP="00CC361D">
      <w:pPr>
        <w:pStyle w:val="Default"/>
      </w:pPr>
    </w:p>
    <w:p w14:paraId="5ECAE253" w14:textId="77777777" w:rsidR="00A574E9" w:rsidRDefault="00A574E9" w:rsidP="00465C8C">
      <w:pPr>
        <w:pStyle w:val="Default"/>
        <w:spacing w:line="360" w:lineRule="auto"/>
        <w:jc w:val="center"/>
        <w:rPr>
          <w:b/>
          <w:bCs/>
        </w:rPr>
      </w:pPr>
    </w:p>
    <w:p w14:paraId="2859669E" w14:textId="35DCDE08" w:rsidR="00CC361D" w:rsidRPr="00A574E9" w:rsidRDefault="00CC361D" w:rsidP="00465C8C">
      <w:pPr>
        <w:pStyle w:val="Default"/>
        <w:spacing w:line="360" w:lineRule="auto"/>
        <w:jc w:val="center"/>
        <w:rPr>
          <w:b/>
          <w:bCs/>
          <w:sz w:val="28"/>
        </w:rPr>
      </w:pPr>
      <w:r w:rsidRPr="00A574E9">
        <w:rPr>
          <w:b/>
          <w:bCs/>
          <w:sz w:val="28"/>
        </w:rPr>
        <w:t xml:space="preserve">Izvješće o provedbi </w:t>
      </w:r>
      <w:r w:rsidR="00465C8C" w:rsidRPr="00A574E9">
        <w:rPr>
          <w:b/>
          <w:bCs/>
          <w:sz w:val="28"/>
        </w:rPr>
        <w:t>P</w:t>
      </w:r>
      <w:r w:rsidRPr="00A574E9">
        <w:rPr>
          <w:b/>
          <w:bCs/>
          <w:sz w:val="28"/>
        </w:rPr>
        <w:t>lana razvoja</w:t>
      </w:r>
      <w:r w:rsidR="00465C8C" w:rsidRPr="00A574E9">
        <w:rPr>
          <w:b/>
          <w:bCs/>
          <w:sz w:val="28"/>
        </w:rPr>
        <w:t xml:space="preserve"> Osječko-baranjske županije</w:t>
      </w:r>
      <w:r w:rsidR="00465C8C" w:rsidRPr="00A574E9">
        <w:rPr>
          <w:b/>
          <w:bCs/>
          <w:sz w:val="28"/>
        </w:rPr>
        <w:br/>
        <w:t xml:space="preserve">za razdoblje do 2027. godine </w:t>
      </w:r>
      <w:r w:rsidR="0098677C">
        <w:rPr>
          <w:b/>
          <w:bCs/>
          <w:sz w:val="28"/>
        </w:rPr>
        <w:br/>
      </w:r>
      <w:r w:rsidRPr="00A574E9">
        <w:rPr>
          <w:b/>
          <w:bCs/>
          <w:sz w:val="28"/>
        </w:rPr>
        <w:t>za</w:t>
      </w:r>
      <w:r w:rsidR="00465C8C" w:rsidRPr="00A574E9">
        <w:rPr>
          <w:b/>
          <w:bCs/>
          <w:sz w:val="28"/>
        </w:rPr>
        <w:t xml:space="preserve"> 202</w:t>
      </w:r>
      <w:r w:rsidR="00DA7F99">
        <w:rPr>
          <w:b/>
          <w:bCs/>
          <w:sz w:val="28"/>
        </w:rPr>
        <w:t>3</w:t>
      </w:r>
      <w:r w:rsidR="00465C8C" w:rsidRPr="00A574E9">
        <w:rPr>
          <w:b/>
          <w:bCs/>
          <w:sz w:val="28"/>
        </w:rPr>
        <w:t>.</w:t>
      </w:r>
      <w:r w:rsidRPr="00A574E9">
        <w:rPr>
          <w:b/>
          <w:bCs/>
          <w:sz w:val="28"/>
        </w:rPr>
        <w:t xml:space="preserve"> godinu</w:t>
      </w:r>
    </w:p>
    <w:p w14:paraId="08C2746C" w14:textId="77777777" w:rsidR="00CC361D" w:rsidRPr="00650F05" w:rsidRDefault="00CC361D" w:rsidP="00CC361D">
      <w:pPr>
        <w:pStyle w:val="Default"/>
        <w:rPr>
          <w:b/>
          <w:bCs/>
        </w:rPr>
      </w:pPr>
    </w:p>
    <w:p w14:paraId="26F90F7B" w14:textId="77777777" w:rsidR="00CC361D" w:rsidRPr="00650F05" w:rsidRDefault="00CC361D" w:rsidP="00CC361D">
      <w:pPr>
        <w:pStyle w:val="Default"/>
        <w:rPr>
          <w:b/>
          <w:bCs/>
        </w:rPr>
      </w:pPr>
    </w:p>
    <w:p w14:paraId="3BD396A9" w14:textId="77777777" w:rsidR="00CC361D" w:rsidRPr="00650F05" w:rsidRDefault="00CC361D" w:rsidP="00CC361D">
      <w:pPr>
        <w:pStyle w:val="Default"/>
        <w:rPr>
          <w:b/>
          <w:bCs/>
          <w:color w:val="FF0000"/>
        </w:rPr>
      </w:pPr>
    </w:p>
    <w:p w14:paraId="3F4794FB" w14:textId="77777777" w:rsidR="00CC361D" w:rsidRPr="00650F05" w:rsidRDefault="00CC361D" w:rsidP="00CC361D">
      <w:pPr>
        <w:pStyle w:val="Default"/>
      </w:pPr>
    </w:p>
    <w:p w14:paraId="382B34E1" w14:textId="245F9054" w:rsidR="00CC361D" w:rsidRPr="00650F05" w:rsidRDefault="00465C8C" w:rsidP="00465C8C">
      <w:pPr>
        <w:pStyle w:val="Default"/>
        <w:jc w:val="center"/>
      </w:pPr>
      <w:r w:rsidRPr="00650F05">
        <w:t>Osječko-baranjska županija</w:t>
      </w:r>
    </w:p>
    <w:p w14:paraId="6C987174" w14:textId="77777777" w:rsidR="00465C8C" w:rsidRPr="00650F05" w:rsidRDefault="00465C8C" w:rsidP="00CC361D">
      <w:pPr>
        <w:pStyle w:val="Default"/>
      </w:pPr>
    </w:p>
    <w:p w14:paraId="2F45678D" w14:textId="77777777" w:rsidR="00465C8C" w:rsidRPr="00650F05" w:rsidRDefault="00465C8C" w:rsidP="00CC361D">
      <w:pPr>
        <w:pStyle w:val="Default"/>
      </w:pPr>
    </w:p>
    <w:p w14:paraId="14A2622B" w14:textId="77777777" w:rsidR="00465C8C" w:rsidRPr="00650F05" w:rsidRDefault="00465C8C" w:rsidP="00CC361D">
      <w:pPr>
        <w:pStyle w:val="Default"/>
      </w:pPr>
    </w:p>
    <w:p w14:paraId="349CCC36" w14:textId="77777777" w:rsidR="00465C8C" w:rsidRPr="00650F05" w:rsidRDefault="00465C8C" w:rsidP="00CC361D">
      <w:pPr>
        <w:pStyle w:val="Default"/>
      </w:pPr>
    </w:p>
    <w:p w14:paraId="7E52FD1E" w14:textId="77777777" w:rsidR="00465C8C" w:rsidRPr="00650F05" w:rsidRDefault="00465C8C" w:rsidP="00CC361D">
      <w:pPr>
        <w:pStyle w:val="Default"/>
      </w:pPr>
    </w:p>
    <w:p w14:paraId="50C56F5E" w14:textId="77777777" w:rsidR="00465C8C" w:rsidRPr="00650F05" w:rsidRDefault="00465C8C" w:rsidP="00CC361D">
      <w:pPr>
        <w:pStyle w:val="Default"/>
      </w:pPr>
    </w:p>
    <w:p w14:paraId="414E5293" w14:textId="77777777" w:rsidR="00465C8C" w:rsidRPr="00650F05" w:rsidRDefault="00465C8C" w:rsidP="00CC361D">
      <w:pPr>
        <w:pStyle w:val="Default"/>
      </w:pPr>
    </w:p>
    <w:p w14:paraId="74C29AAE" w14:textId="77777777" w:rsidR="00465C8C" w:rsidRPr="00650F05" w:rsidRDefault="00465C8C" w:rsidP="00CC361D">
      <w:pPr>
        <w:pStyle w:val="Default"/>
      </w:pPr>
    </w:p>
    <w:p w14:paraId="68B4F7C6" w14:textId="77777777" w:rsidR="00465C8C" w:rsidRPr="00650F05" w:rsidRDefault="00465C8C" w:rsidP="00CC361D">
      <w:pPr>
        <w:pStyle w:val="Default"/>
      </w:pPr>
    </w:p>
    <w:p w14:paraId="01925CCC" w14:textId="77777777" w:rsidR="00465C8C" w:rsidRPr="00650F05" w:rsidRDefault="00465C8C" w:rsidP="00CC361D">
      <w:pPr>
        <w:pStyle w:val="Default"/>
      </w:pPr>
    </w:p>
    <w:p w14:paraId="66FEA6DE" w14:textId="77777777" w:rsidR="00465C8C" w:rsidRPr="00650F05" w:rsidRDefault="00465C8C" w:rsidP="00CC361D">
      <w:pPr>
        <w:pStyle w:val="Default"/>
      </w:pPr>
    </w:p>
    <w:p w14:paraId="52548BA8" w14:textId="77777777" w:rsidR="00465C8C" w:rsidRPr="00650F05" w:rsidRDefault="00465C8C" w:rsidP="00CC361D">
      <w:pPr>
        <w:pStyle w:val="Default"/>
      </w:pPr>
    </w:p>
    <w:p w14:paraId="107E9EC0" w14:textId="77777777" w:rsidR="00465C8C" w:rsidRPr="00650F05" w:rsidRDefault="00465C8C" w:rsidP="00CC361D">
      <w:pPr>
        <w:pStyle w:val="Default"/>
      </w:pPr>
    </w:p>
    <w:p w14:paraId="649CE2BF" w14:textId="77777777" w:rsidR="00465C8C" w:rsidRPr="00650F05" w:rsidRDefault="00465C8C" w:rsidP="00CC361D">
      <w:pPr>
        <w:pStyle w:val="Default"/>
      </w:pPr>
    </w:p>
    <w:p w14:paraId="71B39FA9" w14:textId="77777777" w:rsidR="00465C8C" w:rsidRPr="00650F05" w:rsidRDefault="00465C8C" w:rsidP="00CC361D">
      <w:pPr>
        <w:pStyle w:val="Default"/>
      </w:pPr>
    </w:p>
    <w:p w14:paraId="13011447" w14:textId="77777777" w:rsidR="00465C8C" w:rsidRPr="00650F05" w:rsidRDefault="00465C8C" w:rsidP="00CC361D">
      <w:pPr>
        <w:pStyle w:val="Default"/>
      </w:pPr>
    </w:p>
    <w:p w14:paraId="2B73A144" w14:textId="77777777" w:rsidR="00465C8C" w:rsidRPr="00650F05" w:rsidRDefault="00465C8C" w:rsidP="00CC361D">
      <w:pPr>
        <w:pStyle w:val="Default"/>
      </w:pPr>
    </w:p>
    <w:p w14:paraId="0DFE6D65" w14:textId="77777777" w:rsidR="00465C8C" w:rsidRPr="00650F05" w:rsidRDefault="00465C8C" w:rsidP="00CC361D">
      <w:pPr>
        <w:pStyle w:val="Default"/>
      </w:pPr>
    </w:p>
    <w:p w14:paraId="74B77E4D" w14:textId="77777777" w:rsidR="006F368B" w:rsidRDefault="006F368B" w:rsidP="006F368B">
      <w:pPr>
        <w:pStyle w:val="Default"/>
        <w:jc w:val="center"/>
      </w:pPr>
    </w:p>
    <w:p w14:paraId="3E753C2B" w14:textId="5DAEA171" w:rsidR="006F368B" w:rsidRDefault="00465C8C" w:rsidP="006F368B">
      <w:pPr>
        <w:pStyle w:val="Default"/>
        <w:jc w:val="center"/>
      </w:pPr>
      <w:r w:rsidRPr="00964F2C">
        <w:rPr>
          <w:color w:val="auto"/>
        </w:rPr>
        <w:t>veljač</w:t>
      </w:r>
      <w:r w:rsidR="00DA7F99">
        <w:rPr>
          <w:color w:val="auto"/>
        </w:rPr>
        <w:t>e</w:t>
      </w:r>
      <w:r w:rsidRPr="00964F2C">
        <w:rPr>
          <w:color w:val="auto"/>
        </w:rPr>
        <w:t xml:space="preserve"> </w:t>
      </w:r>
      <w:r w:rsidRPr="00650F05">
        <w:t>202</w:t>
      </w:r>
      <w:r w:rsidR="00DA7F99">
        <w:t>4</w:t>
      </w:r>
      <w:r w:rsidRPr="00650F05">
        <w:t>. godine</w:t>
      </w:r>
    </w:p>
    <w:p w14:paraId="3292228D" w14:textId="77777777" w:rsidR="006F368B" w:rsidRDefault="006F36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10325409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2B444866" w14:textId="77777777" w:rsidR="00945E62" w:rsidRPr="00B60EA4" w:rsidRDefault="00945E62" w:rsidP="006F368B">
          <w:pPr>
            <w:pStyle w:val="TOCNaslov"/>
            <w:spacing w:after="240"/>
            <w:rPr>
              <w:rFonts w:ascii="Times New Roman" w:hAnsi="Times New Roman" w:cs="Times New Roman"/>
              <w:b/>
              <w:color w:val="auto"/>
              <w:sz w:val="24"/>
              <w:lang w:val="hr-HR"/>
            </w:rPr>
          </w:pPr>
          <w:r w:rsidRPr="00B60EA4">
            <w:rPr>
              <w:rFonts w:ascii="Times New Roman" w:hAnsi="Times New Roman" w:cs="Times New Roman"/>
              <w:b/>
              <w:color w:val="auto"/>
              <w:sz w:val="24"/>
              <w:lang w:val="hr-HR"/>
            </w:rPr>
            <w:t>Sadržaj</w:t>
          </w:r>
        </w:p>
        <w:p w14:paraId="1619B6F4" w14:textId="799CB15F" w:rsidR="00D93075" w:rsidRPr="00D93075" w:rsidRDefault="00945E62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D9307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D9307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D9307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</w:p>
        <w:p w14:paraId="738C6ABB" w14:textId="6FEB6F64" w:rsidR="00D93075" w:rsidRPr="00D93075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19" w:history="1">
            <w:r w:rsidR="00D93075" w:rsidRPr="00D93075">
              <w:rPr>
                <w:rStyle w:val="Hiperveza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Uvod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_Toc128473019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77BB2" w14:textId="23A8059C" w:rsidR="00D93075" w:rsidRPr="00D93075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0" w:history="1">
            <w:r w:rsidR="00D93075" w:rsidRPr="00D93075">
              <w:rPr>
                <w:rStyle w:val="Hiperveza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Izvješće o provedbi posebnih ciljeva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_Toc128473020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14DEF" w14:textId="1B5A8B18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1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 Podrška demografskoj revitalizaciji i osnaživanje obitelji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_Toc128473021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77D74" w14:textId="668A65F8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2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_Toc128473022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48462" w14:textId="734D0364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3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Opis napretka u provedbi posebnog cilja 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_Toc128473023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79B1D" w14:textId="37FE0136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4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Razvoj i unaprjeđenje sustava zdravstva i socijalne skrbi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_Toc128473024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167696" w14:textId="477289C8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5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_Toc128473025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D0242C" w14:textId="356823BD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6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 Opis napretka u provedbi posebnog cilja 2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_Toc128473026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0870FE" w14:textId="021DC3DA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7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Razvoj i unaprjeđenje odgojno-obrazovne i znanstveno-istraživačke djelatnosti u funkciji gospodarstva i tržišta rada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_Toc128473027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3A547" w14:textId="5321F93B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8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_Toc128473028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868F0" w14:textId="4D106DF8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29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3.2. Opis napretka u provedbi posebnog cilja 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_Toc128473029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E985A" w14:textId="609652B0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0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Jačanje zajednice i civilnog društva u funkciji poticanja aktivnog i kvalitetnog života građana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_Toc128473030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79462" w14:textId="4E925FDD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1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_Toc128473031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4255A" w14:textId="6F0C0A27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2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4.2. Opis napretka u provedbi posebnog cilja 4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_Toc128473032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9DEE9" w14:textId="43A904FD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3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Unaprjeđenje sustava zaštite okoliša i održivog korištenja prirode te jačanje otpornosti i ublažavanje klimatskih promjena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_Toc128473033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97C18" w14:textId="675A47C2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4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_Toc128473034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CA6A53" w14:textId="7BC1A0E4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5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5.2. Opis napretka u provedbi posebnog cilja 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_Toc128473035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DE88B" w14:textId="78747257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6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 Razvoj lokalne i regionalne infrastrukture radi unaprjeđenja kvalitete života s ciljem ekološke i energetske tranzicije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_Toc128473036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ECFAC" w14:textId="67A05FC6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7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_Toc128473037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1D5A5" w14:textId="6FA44580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8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6.2. Opis napretka u provedbi posebnog cilja 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_Toc128473038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E04D1" w14:textId="245BA7CD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39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 Razvoj i unaprjeđenje održive mobilnosti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_Toc128473039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B92A6" w14:textId="3D33C1C4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0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_Toc128473040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D5EA82" w14:textId="7F6AFC21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1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7.2. Opis napretka u provedbi posebnog cilja 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_Toc128473041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24EFA" w14:textId="27A1D7C1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2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 Jačanje kapaciteta, spremnosti i otpornosti zajednice na rizike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_Toc128473042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C86D0" w14:textId="2BFC09C2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3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_Toc128473043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FCCA08" w14:textId="0376B287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4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8.2. Opis napretka u provedbi posebnog cilja 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_Toc128473044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F6108" w14:textId="7EEA904C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5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 Razvoj i unaprjeđenje poslovnog okruženja te konkurentnosti i inovativnosti gospodarstva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_Toc128473045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A5EBA" w14:textId="5548F7E5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6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_Toc128473046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0D1D9" w14:textId="1865BC06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7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9.2. Opis napretka u provedbi posebnog cilja 9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_Toc128473047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EF483A" w14:textId="7A81FAD2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8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 Podrška proizvodnji i preradi hrane u funkciji održivog regionalnog razvoja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_Toc128473048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B29D1B" w14:textId="41040685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49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_Toc128473049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1EBF3" w14:textId="5095E179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0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10.2. Opis napretka u provedbi posebnog cilja 10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_Toc128473050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05ACA2" w14:textId="5A709C2B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1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 Jačanje regionalne prepoznatljivosti putem brendiranja i promidžbe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_Toc128473051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C9725" w14:textId="59A246FA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2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_Toc128473052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F4D8B" w14:textId="5BDD1125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3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11.2. Opis napretka u provedbi posebnog cilja 11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_Toc128473053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EA4F0" w14:textId="311A435F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4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12. Podrška digitalnoj tranziciji društva i gospodarstva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_Toc128473054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A640E" w14:textId="66FD4ADB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5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12.1.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_Toc128473055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D30E6" w14:textId="59B238E2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6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12.2. Opis napretka u provedbi posebnog cilja 12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_Toc128473056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C9A9CB" w14:textId="333D3ADA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7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13. Unaprjeđenje učinkovitosti i djelotvornosti javnog sektora i upravljanja javnom imovinom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_Toc128473057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839A1B" w14:textId="7073AEDD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8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13.1.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_Toc128473058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BAA9E" w14:textId="542B98C9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59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13.2. Opis napretka u provedbi posebnog cilja 13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_Toc128473059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D3AB4" w14:textId="07DB5BCC" w:rsidR="00D93075" w:rsidRPr="00D93075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0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14. Podrška razvoju slabije razvijenih i potpomognutih područja Županije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_Toc128473060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1D3EC" w14:textId="6771BC73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1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14.1. Ostvarene vrijednosti pokazatelja ishoda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_Toc128473061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BD7FC" w14:textId="61654F44" w:rsidR="00D93075" w:rsidRPr="00D93075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2" w:history="1">
            <w:r w:rsidR="00D93075" w:rsidRPr="00D93075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14.2. Opis napretka u provedbi posebnog cilja 14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_Toc128473062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98A75" w14:textId="14E297C3" w:rsidR="00D93075" w:rsidRPr="00D93075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3" w:history="1">
            <w:r w:rsidR="00D93075" w:rsidRPr="00D93075">
              <w:rPr>
                <w:rStyle w:val="Hiperveza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Zaključak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_Toc128473063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16EE9" w14:textId="0DE13C05" w:rsidR="00D93075" w:rsidRPr="00D93075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4" w:history="1">
            <w:r w:rsidR="00D93075" w:rsidRPr="00D93075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Metodološke napomene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_Toc128473064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8DAA0" w14:textId="614AD0C1" w:rsidR="00D93075" w:rsidRPr="00D93075" w:rsidRDefault="00000000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28473065" w:history="1">
            <w:r w:rsidR="00177690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Prilog 1</w:t>
            </w:r>
            <w:r w:rsidR="00D93075" w:rsidRPr="00D93075">
              <w:rPr>
                <w:rStyle w:val="Hiperveza"/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_Toc128473065 \h </w:instrTex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A5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93075" w:rsidRPr="00D930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73A1F" w14:textId="77777777" w:rsidR="00945E62" w:rsidRPr="00D93075" w:rsidRDefault="00945E62">
          <w:pPr>
            <w:rPr>
              <w:rFonts w:ascii="Times New Roman" w:hAnsi="Times New Roman" w:cs="Times New Roman"/>
              <w:sz w:val="24"/>
              <w:szCs w:val="24"/>
            </w:rPr>
          </w:pPr>
          <w:r w:rsidRPr="00D9307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6DA444D6" w14:textId="77777777" w:rsidR="00CC361D" w:rsidRPr="00650F05" w:rsidRDefault="00CC361D" w:rsidP="00650F05">
      <w:pPr>
        <w:pStyle w:val="Default"/>
        <w:pageBreakBefore/>
        <w:spacing w:after="240" w:line="360" w:lineRule="auto"/>
        <w:jc w:val="both"/>
        <w:outlineLvl w:val="0"/>
      </w:pPr>
      <w:bookmarkStart w:id="0" w:name="_Toc128473019"/>
      <w:r w:rsidRPr="00650F05">
        <w:rPr>
          <w:b/>
          <w:bCs/>
        </w:rPr>
        <w:lastRenderedPageBreak/>
        <w:t>Uvod</w:t>
      </w:r>
      <w:bookmarkEnd w:id="0"/>
      <w:r w:rsidRPr="00650F05">
        <w:rPr>
          <w:b/>
          <w:bCs/>
        </w:rPr>
        <w:t xml:space="preserve"> </w:t>
      </w:r>
    </w:p>
    <w:p w14:paraId="43B98149" w14:textId="289966BF" w:rsidR="00F51D5F" w:rsidRPr="009F74D7" w:rsidRDefault="009F74D7" w:rsidP="00ED1411">
      <w:pPr>
        <w:pStyle w:val="Default"/>
        <w:spacing w:after="240" w:line="360" w:lineRule="auto"/>
        <w:jc w:val="both"/>
        <w:rPr>
          <w:iCs/>
          <w:color w:val="auto"/>
        </w:rPr>
      </w:pPr>
      <w:r w:rsidRPr="009F74D7">
        <w:rPr>
          <w:b/>
          <w:color w:val="auto"/>
        </w:rPr>
        <w:t>Plan razvoja</w:t>
      </w:r>
      <w:r w:rsidR="00F51D5F" w:rsidRPr="009F74D7">
        <w:rPr>
          <w:b/>
          <w:color w:val="auto"/>
        </w:rPr>
        <w:t xml:space="preserve"> Osječko-baranjske županije za razdoblje </w:t>
      </w:r>
      <w:r w:rsidRPr="009F74D7">
        <w:rPr>
          <w:b/>
          <w:color w:val="auto"/>
        </w:rPr>
        <w:t xml:space="preserve">do </w:t>
      </w:r>
      <w:r w:rsidR="00F51D5F" w:rsidRPr="009F74D7">
        <w:rPr>
          <w:b/>
          <w:color w:val="auto"/>
        </w:rPr>
        <w:t>202</w:t>
      </w:r>
      <w:r w:rsidRPr="009F74D7">
        <w:rPr>
          <w:b/>
          <w:color w:val="auto"/>
        </w:rPr>
        <w:t>7</w:t>
      </w:r>
      <w:r w:rsidR="00F51D5F" w:rsidRPr="009F74D7">
        <w:rPr>
          <w:b/>
          <w:color w:val="auto"/>
        </w:rPr>
        <w:t>. godine</w:t>
      </w:r>
      <w:r w:rsidR="00F51D5F" w:rsidRPr="009F74D7">
        <w:rPr>
          <w:color w:val="auto"/>
        </w:rPr>
        <w:t xml:space="preserve"> ("Županijski glasnik" broj </w:t>
      </w:r>
      <w:r w:rsidRPr="009F74D7">
        <w:rPr>
          <w:color w:val="auto"/>
        </w:rPr>
        <w:t>3</w:t>
      </w:r>
      <w:r w:rsidR="00F51D5F" w:rsidRPr="009F74D7">
        <w:rPr>
          <w:color w:val="auto"/>
        </w:rPr>
        <w:t>/2</w:t>
      </w:r>
      <w:r w:rsidRPr="009F74D7">
        <w:rPr>
          <w:color w:val="auto"/>
        </w:rPr>
        <w:t>2</w:t>
      </w:r>
      <w:r w:rsidR="00F51D5F" w:rsidRPr="009F74D7">
        <w:rPr>
          <w:color w:val="auto"/>
        </w:rPr>
        <w:t xml:space="preserve">. - u daljnjem tekstu: </w:t>
      </w:r>
      <w:r w:rsidRPr="009F74D7">
        <w:rPr>
          <w:color w:val="auto"/>
        </w:rPr>
        <w:t>Plan razvoja</w:t>
      </w:r>
      <w:r w:rsidR="00F51D5F" w:rsidRPr="009F74D7">
        <w:rPr>
          <w:color w:val="auto"/>
        </w:rPr>
        <w:t xml:space="preserve">) je </w:t>
      </w:r>
      <w:r w:rsidRPr="009F74D7">
        <w:rPr>
          <w:color w:val="auto"/>
        </w:rPr>
        <w:t>temeljni srednjoročni</w:t>
      </w:r>
      <w:r w:rsidR="00F51D5F" w:rsidRPr="009F74D7">
        <w:rPr>
          <w:color w:val="auto"/>
        </w:rPr>
        <w:t xml:space="preserve"> akt strateškog planiranja </w:t>
      </w:r>
      <w:r w:rsidRPr="009F74D7">
        <w:rPr>
          <w:shd w:val="clear" w:color="auto" w:fill="FFFFFF"/>
        </w:rPr>
        <w:t xml:space="preserve">kojim se definiraju posebni ciljevi za provedbu strateških ciljeva iz </w:t>
      </w:r>
      <w:r w:rsidRPr="009F74D7">
        <w:rPr>
          <w:iCs/>
          <w:color w:val="auto"/>
        </w:rPr>
        <w:t>Nacionalne razvojne strategije Republike Hrvatske za razdoblje do 2030. godine (</w:t>
      </w:r>
      <w:r w:rsidRPr="009F74D7">
        <w:rPr>
          <w:bCs/>
          <w:color w:val="auto"/>
        </w:rPr>
        <w:t>u daljnjem tekstu</w:t>
      </w:r>
      <w:r w:rsidRPr="009F74D7">
        <w:rPr>
          <w:color w:val="auto"/>
        </w:rPr>
        <w:t xml:space="preserve">: </w:t>
      </w:r>
      <w:r w:rsidRPr="009F74D7">
        <w:rPr>
          <w:iCs/>
          <w:color w:val="auto"/>
        </w:rPr>
        <w:t>NRS 2030)</w:t>
      </w:r>
      <w:r w:rsidRPr="009F74D7">
        <w:rPr>
          <w:shd w:val="clear" w:color="auto" w:fill="FFFFFF"/>
        </w:rPr>
        <w:t xml:space="preserve"> te sektorskih i višesektorskih strategija. Plan razvoja donosi se u skladu s načelom partnerstva i suradnje u svrhu definiranja smjera daljnjeg razvoja Osječko-baranjske županije </w:t>
      </w:r>
      <w:r w:rsidRPr="009F74D7">
        <w:rPr>
          <w:iCs/>
          <w:color w:val="auto"/>
        </w:rPr>
        <w:t>(</w:t>
      </w:r>
      <w:r w:rsidRPr="009F74D7">
        <w:rPr>
          <w:bCs/>
          <w:color w:val="auto"/>
        </w:rPr>
        <w:t>u daljnjem tekstu</w:t>
      </w:r>
      <w:r w:rsidRPr="009F74D7">
        <w:rPr>
          <w:color w:val="auto"/>
        </w:rPr>
        <w:t xml:space="preserve">: </w:t>
      </w:r>
      <w:r>
        <w:rPr>
          <w:iCs/>
          <w:color w:val="auto"/>
        </w:rPr>
        <w:t>OBŽ</w:t>
      </w:r>
      <w:r w:rsidRPr="009F74D7">
        <w:rPr>
          <w:iCs/>
          <w:color w:val="auto"/>
        </w:rPr>
        <w:t>)</w:t>
      </w:r>
      <w:r>
        <w:rPr>
          <w:iCs/>
          <w:color w:val="auto"/>
        </w:rPr>
        <w:t xml:space="preserve"> </w:t>
      </w:r>
      <w:r w:rsidRPr="009F74D7">
        <w:rPr>
          <w:shd w:val="clear" w:color="auto" w:fill="FFFFFF"/>
        </w:rPr>
        <w:t>te osiguravanja strateške podloge za upravljanje razvojem sukladno potrebama stanovnika uz učinkovito i održivo korištenje raspoloživih resursa</w:t>
      </w:r>
      <w:r w:rsidR="00F51D5F" w:rsidRPr="009F74D7">
        <w:rPr>
          <w:color w:val="auto"/>
        </w:rPr>
        <w:t>. S</w:t>
      </w:r>
      <w:r w:rsidR="00F51D5F" w:rsidRPr="009F74D7">
        <w:rPr>
          <w:iCs/>
          <w:color w:val="auto"/>
        </w:rPr>
        <w:t xml:space="preserve">trateški ciljevi javnih politika kojima se doprinosilo provedbom mjera utvrđenih u </w:t>
      </w:r>
      <w:r w:rsidRPr="009F74D7">
        <w:rPr>
          <w:iCs/>
          <w:color w:val="auto"/>
        </w:rPr>
        <w:t xml:space="preserve">Planu razvoja </w:t>
      </w:r>
      <w:r w:rsidR="00DA7F99">
        <w:rPr>
          <w:iCs/>
          <w:color w:val="auto"/>
        </w:rPr>
        <w:t xml:space="preserve">u </w:t>
      </w:r>
      <w:r w:rsidR="00F51D5F" w:rsidRPr="009F74D7">
        <w:rPr>
          <w:iCs/>
          <w:color w:val="auto"/>
        </w:rPr>
        <w:t>202</w:t>
      </w:r>
      <w:r w:rsidR="00DA7F99">
        <w:rPr>
          <w:iCs/>
          <w:color w:val="auto"/>
        </w:rPr>
        <w:t>3</w:t>
      </w:r>
      <w:r w:rsidR="00F51D5F" w:rsidRPr="009F74D7">
        <w:rPr>
          <w:iCs/>
          <w:color w:val="auto"/>
        </w:rPr>
        <w:t>. godin</w:t>
      </w:r>
      <w:r w:rsidR="00DA7F99">
        <w:rPr>
          <w:iCs/>
          <w:color w:val="auto"/>
        </w:rPr>
        <w:t>i</w:t>
      </w:r>
      <w:r w:rsidR="00F51D5F" w:rsidRPr="009F74D7">
        <w:rPr>
          <w:iCs/>
          <w:color w:val="auto"/>
        </w:rPr>
        <w:t xml:space="preserve"> preuzeti su iz</w:t>
      </w:r>
      <w:r>
        <w:rPr>
          <w:iCs/>
          <w:color w:val="auto"/>
        </w:rPr>
        <w:t xml:space="preserve"> NRS 2030</w:t>
      </w:r>
      <w:r w:rsidR="00F51D5F" w:rsidRPr="009F74D7">
        <w:rPr>
          <w:color w:val="auto"/>
        </w:rPr>
        <w:t>.</w:t>
      </w:r>
    </w:p>
    <w:p w14:paraId="3EA19766" w14:textId="66092827" w:rsidR="00F51D5F" w:rsidRDefault="00F51D5F" w:rsidP="00ED1411">
      <w:pPr>
        <w:pStyle w:val="Default"/>
        <w:spacing w:after="240" w:line="360" w:lineRule="auto"/>
        <w:jc w:val="both"/>
        <w:rPr>
          <w:color w:val="auto"/>
        </w:rPr>
      </w:pPr>
      <w:r w:rsidRPr="00DC77CE">
        <w:rPr>
          <w:color w:val="auto"/>
        </w:rPr>
        <w:t xml:space="preserve">Obveza izrade i podnošenja godišnjeg izvješća o provedbi </w:t>
      </w:r>
      <w:r w:rsidR="009F74D7" w:rsidRPr="00DC77CE">
        <w:rPr>
          <w:color w:val="auto"/>
        </w:rPr>
        <w:t xml:space="preserve">planova razvoja </w:t>
      </w:r>
      <w:r w:rsidRPr="00DC77CE">
        <w:rPr>
          <w:color w:val="auto"/>
        </w:rPr>
        <w:t xml:space="preserve">propisana je odredbama </w:t>
      </w:r>
      <w:r w:rsidR="006B46E4" w:rsidRPr="009F74D7">
        <w:rPr>
          <w:color w:val="auto"/>
        </w:rPr>
        <w:t>Zakonom o sustavu strateškog planiranja i upravljanja razvojem Republike Hrvatske ("Narodne novine" broj 123/17. i 151/22.)</w:t>
      </w:r>
      <w:r w:rsidRPr="00DC77CE">
        <w:rPr>
          <w:color w:val="auto"/>
        </w:rPr>
        <w:t xml:space="preserve"> i </w:t>
      </w:r>
      <w:r w:rsidR="009F74D7" w:rsidRPr="00DC77CE">
        <w:rPr>
          <w:color w:val="auto"/>
        </w:rPr>
        <w:t>podzakonskih akata</w:t>
      </w:r>
      <w:r w:rsidR="006B46E4">
        <w:rPr>
          <w:rStyle w:val="Referencafusnote"/>
          <w:color w:val="auto"/>
        </w:rPr>
        <w:footnoteReference w:id="1"/>
      </w:r>
      <w:r w:rsidR="009F74D7" w:rsidRPr="00DC77CE">
        <w:rPr>
          <w:color w:val="auto"/>
        </w:rPr>
        <w:t xml:space="preserve">, a rok za izradu i javnu objavu Godišnjeg izvješća je 31. </w:t>
      </w:r>
      <w:r w:rsidR="009F74D7" w:rsidRPr="00DC77CE">
        <w:t>ožujka tekuće godine za prethodnu godinu</w:t>
      </w:r>
      <w:r w:rsidR="009F74D7" w:rsidRPr="00DC77CE">
        <w:rPr>
          <w:color w:val="auto"/>
        </w:rPr>
        <w:t>.</w:t>
      </w:r>
      <w:r w:rsidR="009F74D7" w:rsidRPr="00DC77CE">
        <w:t xml:space="preserve"> </w:t>
      </w:r>
      <w:r w:rsidRPr="00DC77CE">
        <w:rPr>
          <w:b/>
          <w:color w:val="auto"/>
        </w:rPr>
        <w:t xml:space="preserve">Godišnje izvješće o provedbi </w:t>
      </w:r>
      <w:r w:rsidR="00DC77CE" w:rsidRPr="00DC77CE">
        <w:rPr>
          <w:b/>
        </w:rPr>
        <w:t>Plana razvoja</w:t>
      </w:r>
      <w:r w:rsidRPr="00DC77CE">
        <w:rPr>
          <w:b/>
          <w:color w:val="auto"/>
        </w:rPr>
        <w:t xml:space="preserve"> Osječko-baranjske županije za razdoblje </w:t>
      </w:r>
      <w:r w:rsidR="00DC77CE" w:rsidRPr="00DC77CE">
        <w:rPr>
          <w:b/>
        </w:rPr>
        <w:t>do</w:t>
      </w:r>
      <w:r w:rsidRPr="00DC77CE">
        <w:rPr>
          <w:b/>
          <w:color w:val="auto"/>
        </w:rPr>
        <w:t xml:space="preserve"> 202</w:t>
      </w:r>
      <w:r w:rsidR="00DC77CE" w:rsidRPr="00DC77CE">
        <w:rPr>
          <w:b/>
        </w:rPr>
        <w:t>7</w:t>
      </w:r>
      <w:r w:rsidRPr="00DC77CE">
        <w:rPr>
          <w:b/>
          <w:color w:val="auto"/>
        </w:rPr>
        <w:t>. godine</w:t>
      </w:r>
      <w:r w:rsidRPr="00DC77CE">
        <w:rPr>
          <w:color w:val="auto"/>
        </w:rPr>
        <w:t xml:space="preserve"> je izvješće </w:t>
      </w:r>
      <w:r w:rsidR="00DC77CE" w:rsidRPr="00DC77CE">
        <w:t>o napretku u provedbi posebnih ciljeva i ostvarivanja pokazatelja ishoda iz Plana razvoja koje Županija</w:t>
      </w:r>
      <w:r w:rsidRPr="00DC77CE">
        <w:rPr>
          <w:bCs/>
          <w:color w:val="auto"/>
        </w:rPr>
        <w:t xml:space="preserve">, </w:t>
      </w:r>
      <w:r w:rsidRPr="00DC77CE">
        <w:rPr>
          <w:color w:val="auto"/>
        </w:rPr>
        <w:t>u suradnji s nadležnim regionalnim koordinatorom, Javnom ustanovom Županijskom razvojnom agencijom Osječko-baranjske županije</w:t>
      </w:r>
      <w:r w:rsidR="00DC77CE" w:rsidRPr="00DC77CE">
        <w:rPr>
          <w:color w:val="auto"/>
        </w:rPr>
        <w:t>,</w:t>
      </w:r>
      <w:r w:rsidRPr="00DC77CE">
        <w:rPr>
          <w:color w:val="auto"/>
        </w:rPr>
        <w:t xml:space="preserve"> izrađuje i javno objavljuje, u skladu s Uputama Koordinacijskog tijela u sustavu strateškog planiranja i upravljanja razvojem Republike Hrvatske. </w:t>
      </w:r>
      <w:r w:rsidR="00DC77CE" w:rsidRPr="00DC77CE">
        <w:rPr>
          <w:color w:val="auto"/>
        </w:rPr>
        <w:t xml:space="preserve">Ovo </w:t>
      </w:r>
      <w:r w:rsidRPr="00DC77CE">
        <w:rPr>
          <w:color w:val="auto"/>
        </w:rPr>
        <w:t xml:space="preserve">Godišnje izvješće izrađeno je za razdoblje u trajanju </w:t>
      </w:r>
      <w:r w:rsidRPr="00DC77CE">
        <w:rPr>
          <w:b/>
          <w:color w:val="auto"/>
        </w:rPr>
        <w:t>od 1. siječnja do 31. prosinca 202</w:t>
      </w:r>
      <w:r w:rsidR="00DA7F99">
        <w:rPr>
          <w:b/>
          <w:color w:val="auto"/>
        </w:rPr>
        <w:t>3</w:t>
      </w:r>
      <w:r w:rsidRPr="00DC77CE">
        <w:rPr>
          <w:b/>
          <w:color w:val="auto"/>
        </w:rPr>
        <w:t>. godine.</w:t>
      </w:r>
      <w:r w:rsidRPr="00DC77CE">
        <w:rPr>
          <w:color w:val="auto"/>
        </w:rPr>
        <w:t xml:space="preserve"> </w:t>
      </w:r>
    </w:p>
    <w:p w14:paraId="583A01A4" w14:textId="77777777" w:rsidR="00DC77CE" w:rsidRPr="00DC77CE" w:rsidRDefault="00F51D5F" w:rsidP="00ED1411">
      <w:pPr>
        <w:pStyle w:val="Default"/>
        <w:spacing w:after="240" w:line="360" w:lineRule="auto"/>
        <w:jc w:val="both"/>
        <w:rPr>
          <w:iCs/>
          <w:color w:val="auto"/>
        </w:rPr>
      </w:pPr>
      <w:r w:rsidRPr="00DC77CE">
        <w:rPr>
          <w:color w:val="auto"/>
        </w:rPr>
        <w:t xml:space="preserve">Godišnje izvješće sadrži pregled stanja u upravnom području, opis napretka u provedbi mjera te opisuje doprinos mjera u ostvarenju ciljeva javnih politika, s pobrojanim najvažnijim rezultatima koje je OBŽ ostvarila tijekom izvještajnog razdoblja. Pritom je naglasak na rezultatima koji donose korist građanima i od većeg su značaja za društvo u cjelini. </w:t>
      </w:r>
    </w:p>
    <w:p w14:paraId="445DC566" w14:textId="6ABA1F6F" w:rsidR="009F74D7" w:rsidRPr="00DC77CE" w:rsidRDefault="009F74D7" w:rsidP="00ED1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DC77CE">
        <w:rPr>
          <w:rFonts w:ascii="Times New Roman" w:hAnsi="Times New Roman" w:cs="Times New Roman"/>
          <w:sz w:val="24"/>
          <w:szCs w:val="23"/>
        </w:rPr>
        <w:t xml:space="preserve">U promatranom izvještajnom razdoblju </w:t>
      </w:r>
      <w:r w:rsidR="002E6CEB" w:rsidRPr="002E6CEB">
        <w:rPr>
          <w:rFonts w:ascii="Times New Roman" w:hAnsi="Times New Roman" w:cs="Times New Roman"/>
          <w:sz w:val="24"/>
          <w:szCs w:val="24"/>
        </w:rPr>
        <w:t>značajnije gospodarske, društvene i političke promjen</w:t>
      </w:r>
      <w:r w:rsidR="008A5A1D">
        <w:rPr>
          <w:rFonts w:ascii="Times New Roman" w:hAnsi="Times New Roman" w:cs="Times New Roman"/>
          <w:sz w:val="24"/>
          <w:szCs w:val="24"/>
        </w:rPr>
        <w:t>e</w:t>
      </w:r>
      <w:r w:rsidR="002E6CEB" w:rsidRPr="002E6CEB">
        <w:rPr>
          <w:rFonts w:ascii="Times New Roman" w:hAnsi="Times New Roman" w:cs="Times New Roman"/>
          <w:sz w:val="24"/>
          <w:szCs w:val="24"/>
        </w:rPr>
        <w:t xml:space="preserve"> na području Republike Hrvatske i OBŽ</w:t>
      </w:r>
      <w:r w:rsidR="002E6CEB" w:rsidRPr="00A0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EB" w:rsidRPr="002D6EA7">
        <w:rPr>
          <w:rFonts w:ascii="Times New Roman" w:hAnsi="Times New Roman" w:cs="Times New Roman"/>
          <w:bCs/>
          <w:sz w:val="24"/>
          <w:szCs w:val="24"/>
        </w:rPr>
        <w:t xml:space="preserve">bile su prelazak iz hrvatske kune na euro kao službene </w:t>
      </w:r>
      <w:r w:rsidR="002E6CEB" w:rsidRPr="002D6EA7">
        <w:rPr>
          <w:rFonts w:ascii="Times New Roman" w:hAnsi="Times New Roman" w:cs="Times New Roman"/>
          <w:bCs/>
          <w:sz w:val="24"/>
          <w:szCs w:val="24"/>
        </w:rPr>
        <w:lastRenderedPageBreak/>
        <w:t>novčane jedinice i zakonsko sredstvo plaćanja, ulaska u prostor Schengena 1. siječnja te izmjene u vodstvu županije 1</w:t>
      </w:r>
      <w:r w:rsidR="002E6CEB">
        <w:rPr>
          <w:rFonts w:ascii="Times New Roman" w:hAnsi="Times New Roman" w:cs="Times New Roman"/>
          <w:bCs/>
          <w:sz w:val="24"/>
          <w:szCs w:val="24"/>
        </w:rPr>
        <w:t>6</w:t>
      </w:r>
      <w:r w:rsidR="002E6CEB" w:rsidRPr="002D6EA7">
        <w:rPr>
          <w:rFonts w:ascii="Times New Roman" w:hAnsi="Times New Roman" w:cs="Times New Roman"/>
          <w:bCs/>
          <w:sz w:val="24"/>
          <w:szCs w:val="24"/>
        </w:rPr>
        <w:t xml:space="preserve">. studenog 2023. godine, kada je župan Ivan </w:t>
      </w:r>
      <w:proofErr w:type="spellStart"/>
      <w:r w:rsidR="002E6CEB" w:rsidRPr="002D6EA7">
        <w:rPr>
          <w:rFonts w:ascii="Times New Roman" w:hAnsi="Times New Roman" w:cs="Times New Roman"/>
          <w:bCs/>
          <w:sz w:val="24"/>
          <w:szCs w:val="24"/>
        </w:rPr>
        <w:t>Anušić</w:t>
      </w:r>
      <w:proofErr w:type="spellEnd"/>
      <w:r w:rsidR="002E6CEB" w:rsidRPr="002D6EA7">
        <w:rPr>
          <w:rFonts w:ascii="Times New Roman" w:hAnsi="Times New Roman" w:cs="Times New Roman"/>
          <w:bCs/>
          <w:sz w:val="24"/>
          <w:szCs w:val="24"/>
        </w:rPr>
        <w:t xml:space="preserve"> imenovan za ministra obrane, čime je obnašanje dužnosti župana preuzeo zamjenik župana, Mato Lukić. Također,</w:t>
      </w:r>
      <w:r w:rsidR="002E6CEB" w:rsidRPr="00A02007">
        <w:rPr>
          <w:rFonts w:ascii="Times New Roman" w:hAnsi="Times New Roman" w:cs="Times New Roman"/>
          <w:sz w:val="24"/>
          <w:szCs w:val="24"/>
        </w:rPr>
        <w:t xml:space="preserve"> 2023. godinu obilježilo je </w:t>
      </w:r>
      <w:r w:rsidR="002E6CEB" w:rsidRPr="002E6CEB">
        <w:rPr>
          <w:rFonts w:ascii="Times New Roman" w:hAnsi="Times New Roman" w:cs="Times New Roman"/>
          <w:sz w:val="24"/>
          <w:szCs w:val="24"/>
        </w:rPr>
        <w:t>nekoliko značajnih događanja na globalnoj razini</w:t>
      </w:r>
      <w:r w:rsidR="002E6CEB" w:rsidRPr="00A02007">
        <w:rPr>
          <w:rFonts w:ascii="Times New Roman" w:hAnsi="Times New Roman" w:cs="Times New Roman"/>
          <w:sz w:val="24"/>
          <w:szCs w:val="24"/>
        </w:rPr>
        <w:t xml:space="preserve"> koja su uzrokovala ekonomske, zdravstvene i društvene šokove, a potencijalno će izazvati i dublju krizu: globalna inflacija i poremećaji u opskrbi, osobito energentima i sirovinama, kao i ratna zbivanja na teritoriju </w:t>
      </w:r>
      <w:r w:rsidR="002E6CEB" w:rsidRPr="00304FED">
        <w:rPr>
          <w:rFonts w:ascii="Times New Roman" w:hAnsi="Times New Roman" w:cs="Times New Roman"/>
          <w:sz w:val="24"/>
          <w:szCs w:val="24"/>
        </w:rPr>
        <w:t>Europe i</w:t>
      </w:r>
      <w:r w:rsidR="002E6CEB" w:rsidRPr="00A0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EB" w:rsidRPr="002D6EA7">
        <w:rPr>
          <w:rFonts w:ascii="Times New Roman" w:hAnsi="Times New Roman" w:cs="Times New Roman"/>
          <w:bCs/>
          <w:sz w:val="24"/>
          <w:szCs w:val="24"/>
        </w:rPr>
        <w:t>Bliskog istoka</w:t>
      </w:r>
      <w:r w:rsidR="002E6CEB" w:rsidRPr="00A02007">
        <w:rPr>
          <w:rFonts w:ascii="Times New Roman" w:hAnsi="Times New Roman" w:cs="Times New Roman"/>
          <w:sz w:val="24"/>
          <w:szCs w:val="24"/>
        </w:rPr>
        <w:t xml:space="preserve"> te gospodarske i sigurnosne posljedice koje iz njih proizlaze. </w:t>
      </w:r>
      <w:r w:rsidRPr="00DC77CE">
        <w:rPr>
          <w:rFonts w:ascii="Times New Roman" w:hAnsi="Times New Roman" w:cs="Times New Roman"/>
          <w:sz w:val="24"/>
          <w:szCs w:val="23"/>
        </w:rPr>
        <w:t>Navedeni događaji</w:t>
      </w:r>
      <w:r w:rsidR="00DC77CE" w:rsidRPr="00DC77CE">
        <w:rPr>
          <w:rFonts w:ascii="Times New Roman" w:hAnsi="Times New Roman" w:cs="Times New Roman"/>
          <w:sz w:val="24"/>
          <w:szCs w:val="23"/>
        </w:rPr>
        <w:t xml:space="preserve"> potencijalni</w:t>
      </w:r>
      <w:r w:rsidRPr="00DC77CE">
        <w:rPr>
          <w:rFonts w:ascii="Times New Roman" w:hAnsi="Times New Roman" w:cs="Times New Roman"/>
          <w:sz w:val="24"/>
          <w:szCs w:val="23"/>
        </w:rPr>
        <w:t xml:space="preserve"> su </w:t>
      </w:r>
      <w:r w:rsidR="00DC77CE" w:rsidRPr="00DC77CE">
        <w:rPr>
          <w:rFonts w:ascii="Times New Roman" w:hAnsi="Times New Roman" w:cs="Times New Roman"/>
          <w:sz w:val="24"/>
          <w:szCs w:val="23"/>
        </w:rPr>
        <w:t>rizik</w:t>
      </w:r>
      <w:r w:rsidRPr="00DC77CE">
        <w:rPr>
          <w:rFonts w:ascii="Times New Roman" w:hAnsi="Times New Roman" w:cs="Times New Roman"/>
          <w:sz w:val="24"/>
          <w:szCs w:val="23"/>
        </w:rPr>
        <w:t xml:space="preserve"> daljnj</w:t>
      </w:r>
      <w:r w:rsidR="00DC77CE" w:rsidRPr="00DC77CE">
        <w:rPr>
          <w:rFonts w:ascii="Times New Roman" w:hAnsi="Times New Roman" w:cs="Times New Roman"/>
          <w:sz w:val="24"/>
          <w:szCs w:val="23"/>
        </w:rPr>
        <w:t>im aktivnostima koje se poduzimaju u realizaciji posebnih ciljeva</w:t>
      </w:r>
      <w:r w:rsidRPr="00DC77CE">
        <w:rPr>
          <w:rFonts w:ascii="Times New Roman" w:hAnsi="Times New Roman" w:cs="Times New Roman"/>
          <w:sz w:val="24"/>
          <w:szCs w:val="23"/>
        </w:rPr>
        <w:t xml:space="preserve"> definiranih </w:t>
      </w:r>
      <w:r w:rsidR="00DC77CE" w:rsidRPr="00DC77CE">
        <w:rPr>
          <w:rFonts w:ascii="Times New Roman" w:hAnsi="Times New Roman" w:cs="Times New Roman"/>
          <w:sz w:val="24"/>
          <w:szCs w:val="23"/>
        </w:rPr>
        <w:t>Planom razvoja</w:t>
      </w:r>
      <w:r w:rsidRPr="00DC77CE">
        <w:rPr>
          <w:rFonts w:ascii="Times New Roman" w:hAnsi="Times New Roman" w:cs="Times New Roman"/>
          <w:sz w:val="24"/>
          <w:szCs w:val="23"/>
        </w:rPr>
        <w:t xml:space="preserve">. </w:t>
      </w:r>
    </w:p>
    <w:p w14:paraId="5C6AA535" w14:textId="789DF8D8" w:rsidR="009F74D7" w:rsidRPr="00DC77CE" w:rsidRDefault="009F74D7" w:rsidP="00ED141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7CE">
        <w:rPr>
          <w:rFonts w:ascii="Times New Roman" w:eastAsia="Calibri" w:hAnsi="Times New Roman" w:cs="Times New Roman"/>
          <w:sz w:val="24"/>
          <w:szCs w:val="24"/>
        </w:rPr>
        <w:t>U društvenom kontekstu, OBŽ svoje djelovanje usmjerava na visoku kvalitetu života stanovnika kroz demografske mjere, aktivnosti i projekt</w:t>
      </w:r>
      <w:r w:rsidR="003A1B40">
        <w:rPr>
          <w:rFonts w:ascii="Times New Roman" w:eastAsia="Calibri" w:hAnsi="Times New Roman" w:cs="Times New Roman"/>
          <w:sz w:val="24"/>
          <w:szCs w:val="24"/>
        </w:rPr>
        <w:t>e</w:t>
      </w:r>
      <w:r w:rsidRPr="00DC77CE">
        <w:rPr>
          <w:rFonts w:ascii="Times New Roman" w:eastAsia="Calibri" w:hAnsi="Times New Roman" w:cs="Times New Roman"/>
          <w:sz w:val="24"/>
          <w:szCs w:val="24"/>
        </w:rPr>
        <w:t xml:space="preserve"> u nizu javnih usluga, posebno odgoj, obrazovanje, zdravstvo, socijalnu skrb te poticanje aktivnog uključivanja u organizacije civilnog sektora, uz osiguravanje visokog stupnja infrastrukturne opremljenosti i brigu o zaštiti okoliša i prirode.</w:t>
      </w:r>
    </w:p>
    <w:p w14:paraId="0250C337" w14:textId="3C75FF18" w:rsidR="009F74D7" w:rsidRPr="00DC77CE" w:rsidRDefault="009F74D7" w:rsidP="00ED141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77CE">
        <w:rPr>
          <w:rFonts w:ascii="Times New Roman" w:eastAsia="Calibri" w:hAnsi="Times New Roman" w:cs="Times New Roman"/>
          <w:sz w:val="24"/>
          <w:szCs w:val="24"/>
        </w:rPr>
        <w:t>Poljoprivredna proizvodnja i prehrambena industrija najvažniji su sektori gospodarstva i nositelji razvoja OBŽ. Na njih se nadovezuje stočarstvo, drvna, kemijska i metalna industrija, proizvodnja papira, strojeva, građevinskih materijala, a zadnjih godina intenzivno se razvija</w:t>
      </w:r>
      <w:r w:rsidR="002E6CEB">
        <w:rPr>
          <w:rFonts w:ascii="Times New Roman" w:eastAsia="Calibri" w:hAnsi="Times New Roman" w:cs="Times New Roman"/>
          <w:sz w:val="24"/>
          <w:szCs w:val="24"/>
        </w:rPr>
        <w:t>ju</w:t>
      </w:r>
      <w:r w:rsidRPr="00DC77CE">
        <w:rPr>
          <w:rFonts w:ascii="Times New Roman" w:eastAsia="Calibri" w:hAnsi="Times New Roman" w:cs="Times New Roman"/>
          <w:sz w:val="24"/>
          <w:szCs w:val="24"/>
        </w:rPr>
        <w:t xml:space="preserve"> turizam i IKT industrija. Zbog kapaciteta i osobito razvojnih potencijala tih djelatnosti, kao što su dobar geoprometni položaj i infrastruktura ovog područja, OBŽ može biti vrlo zanimljiva investitorima. </w:t>
      </w:r>
      <w:r w:rsidR="00DC77CE">
        <w:rPr>
          <w:rFonts w:ascii="Times New Roman" w:eastAsia="Calibri" w:hAnsi="Times New Roman" w:cs="Times New Roman"/>
          <w:sz w:val="24"/>
          <w:szCs w:val="24"/>
        </w:rPr>
        <w:t>U tom pogledu</w:t>
      </w:r>
      <w:r w:rsidRPr="00DC77CE">
        <w:rPr>
          <w:rFonts w:ascii="Times New Roman" w:eastAsia="Calibri" w:hAnsi="Times New Roman" w:cs="Times New Roman"/>
          <w:sz w:val="24"/>
          <w:szCs w:val="24"/>
        </w:rPr>
        <w:t>, posebnu važnost ima</w:t>
      </w:r>
      <w:r w:rsidR="00DC77CE">
        <w:rPr>
          <w:rFonts w:ascii="Times New Roman" w:eastAsia="Calibri" w:hAnsi="Times New Roman" w:cs="Times New Roman"/>
          <w:sz w:val="24"/>
          <w:szCs w:val="24"/>
        </w:rPr>
        <w:t>ju</w:t>
      </w:r>
      <w:r w:rsidRPr="00DC77CE">
        <w:rPr>
          <w:rFonts w:ascii="Times New Roman" w:eastAsia="Calibri" w:hAnsi="Times New Roman" w:cs="Times New Roman"/>
          <w:sz w:val="24"/>
          <w:szCs w:val="24"/>
        </w:rPr>
        <w:t xml:space="preserve"> infrastrukturni objekti poput Regionalnog distribuci</w:t>
      </w:r>
      <w:r w:rsidR="00DC77CE">
        <w:rPr>
          <w:rFonts w:ascii="Times New Roman" w:eastAsia="Calibri" w:hAnsi="Times New Roman" w:cs="Times New Roman"/>
          <w:sz w:val="24"/>
          <w:szCs w:val="24"/>
        </w:rPr>
        <w:t>jskog centra za voće i povrće,</w:t>
      </w:r>
      <w:r w:rsidRPr="00DC77CE">
        <w:rPr>
          <w:rFonts w:ascii="Times New Roman" w:eastAsia="Calibri" w:hAnsi="Times New Roman" w:cs="Times New Roman"/>
          <w:sz w:val="24"/>
          <w:szCs w:val="24"/>
        </w:rPr>
        <w:t xml:space="preserve"> Gospodarskog centra</w:t>
      </w:r>
      <w:r w:rsidR="002E6CEB">
        <w:rPr>
          <w:rFonts w:ascii="Times New Roman" w:eastAsia="Calibri" w:hAnsi="Times New Roman" w:cs="Times New Roman"/>
          <w:sz w:val="24"/>
          <w:szCs w:val="24"/>
        </w:rPr>
        <w:t>,</w:t>
      </w:r>
      <w:r w:rsidRPr="00DC7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CEB" w:rsidRPr="00304FED">
        <w:rPr>
          <w:rFonts w:ascii="Times New Roman" w:eastAsia="Calibri" w:hAnsi="Times New Roman" w:cs="Times New Roman"/>
          <w:sz w:val="24"/>
          <w:szCs w:val="24"/>
        </w:rPr>
        <w:t>čija je prva zgrada izgrađena</w:t>
      </w:r>
      <w:r w:rsidR="002E6CEB">
        <w:rPr>
          <w:rFonts w:ascii="Times New Roman" w:eastAsia="Calibri" w:hAnsi="Times New Roman" w:cs="Times New Roman"/>
          <w:sz w:val="24"/>
          <w:szCs w:val="24"/>
        </w:rPr>
        <w:t xml:space="preserve"> tijekom izvještajnog razdoblja</w:t>
      </w:r>
      <w:r w:rsidR="00DC77CE">
        <w:rPr>
          <w:rFonts w:ascii="Times New Roman" w:eastAsia="Calibri" w:hAnsi="Times New Roman" w:cs="Times New Roman"/>
          <w:sz w:val="24"/>
          <w:szCs w:val="24"/>
        </w:rPr>
        <w:t>, zatim projekti izgradnje sustava navodnjavanja i niz drugih infrastrukturnih projekata</w:t>
      </w:r>
      <w:r w:rsidRPr="00DC77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5DCA1A" w14:textId="77777777" w:rsidR="009F74D7" w:rsidRPr="00DC77CE" w:rsidRDefault="009F74D7" w:rsidP="00ED141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CE">
        <w:rPr>
          <w:rFonts w:ascii="Times New Roman" w:hAnsi="Times New Roman" w:cs="Times New Roman"/>
          <w:sz w:val="24"/>
          <w:szCs w:val="23"/>
        </w:rPr>
        <w:t>Održiv razvoj OBŽ podrazumijeva učinkovito upravljanje uz poštivanje načela dugoročno održivog razvoja te očuvanje prirodnih i kulturnih vrijednosti. Kao temeljna načela razvoja izdvajaju se partnerstvo svih društvenih sektora, održivi gospodarski rast te ujednačen razvoj prostora ulaganjem u komunalnu i društvenu te gospodarsku infrastrukturu i ljudske resurse, učinkovitim korištenjem sredstava iz EU fondova za razvojne projekte na čitavom području Županije.</w:t>
      </w:r>
    </w:p>
    <w:p w14:paraId="7C1F3F54" w14:textId="77777777" w:rsidR="00CC361D" w:rsidRPr="00650F05" w:rsidRDefault="00CC361D" w:rsidP="00650F05">
      <w:pPr>
        <w:pStyle w:val="Default"/>
        <w:pageBreakBefore/>
        <w:spacing w:after="240" w:line="360" w:lineRule="auto"/>
        <w:outlineLvl w:val="0"/>
      </w:pPr>
      <w:bookmarkStart w:id="1" w:name="_Toc128473020"/>
      <w:r w:rsidRPr="00650F05">
        <w:rPr>
          <w:b/>
          <w:bCs/>
        </w:rPr>
        <w:lastRenderedPageBreak/>
        <w:t>Izvješće o provedbi posebnih ciljeva</w:t>
      </w:r>
      <w:bookmarkEnd w:id="1"/>
      <w:r w:rsidRPr="00650F05">
        <w:rPr>
          <w:b/>
          <w:bCs/>
        </w:rPr>
        <w:t xml:space="preserve"> </w:t>
      </w:r>
    </w:p>
    <w:p w14:paraId="55CD8269" w14:textId="77777777" w:rsidR="00CC361D" w:rsidRPr="001049FC" w:rsidRDefault="00CC361D" w:rsidP="001E677E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2" w:name="_Toc128473021"/>
      <w:r w:rsidRPr="001049FC">
        <w:rPr>
          <w:b/>
          <w:bCs/>
        </w:rPr>
        <w:t xml:space="preserve">1. </w:t>
      </w:r>
      <w:r w:rsidR="00196073" w:rsidRPr="001049FC">
        <w:rPr>
          <w:b/>
          <w:bCs/>
        </w:rPr>
        <w:t>Podrška demografskoj revitalizaciji i osnaživanje obitelji</w:t>
      </w:r>
      <w:bookmarkEnd w:id="2"/>
      <w:r w:rsidRPr="001049FC">
        <w:rPr>
          <w:b/>
          <w:bCs/>
        </w:rPr>
        <w:t xml:space="preserve"> </w:t>
      </w:r>
    </w:p>
    <w:p w14:paraId="4810CA97" w14:textId="77777777" w:rsidR="00650F05" w:rsidRPr="00650F05" w:rsidRDefault="00650F05" w:rsidP="00945E62">
      <w:pPr>
        <w:pStyle w:val="Default"/>
        <w:spacing w:after="240" w:line="360" w:lineRule="auto"/>
        <w:outlineLvl w:val="2"/>
      </w:pPr>
      <w:bookmarkStart w:id="3" w:name="_Toc128473022"/>
      <w:r w:rsidRPr="00650F05">
        <w:t>1.1. Ostvarene vrijednosti pokazatelja ishoda</w:t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979"/>
      </w:tblGrid>
      <w:tr w:rsidR="00650F05" w14:paraId="6A2EC009" w14:textId="77777777" w:rsidTr="009B5FD8">
        <w:tc>
          <w:tcPr>
            <w:tcW w:w="2972" w:type="dxa"/>
            <w:vAlign w:val="center"/>
          </w:tcPr>
          <w:p w14:paraId="4738D188" w14:textId="77777777" w:rsidR="00650F05" w:rsidRDefault="00650F05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126" w:type="dxa"/>
            <w:vAlign w:val="center"/>
          </w:tcPr>
          <w:p w14:paraId="69CB1D9A" w14:textId="77777777" w:rsidR="00650F05" w:rsidRPr="009E1C6B" w:rsidRDefault="00650F05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B"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985" w:type="dxa"/>
            <w:vAlign w:val="center"/>
          </w:tcPr>
          <w:p w14:paraId="303B9CED" w14:textId="77777777" w:rsidR="00650F05" w:rsidRPr="009E1C6B" w:rsidRDefault="00650F05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B"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1979" w:type="dxa"/>
            <w:vAlign w:val="center"/>
          </w:tcPr>
          <w:p w14:paraId="79FFECDC" w14:textId="77777777" w:rsidR="00650F05" w:rsidRPr="009E1C6B" w:rsidRDefault="00650F05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6B"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0965737F" w14:textId="77777777" w:rsidTr="009B5FD8">
        <w:tc>
          <w:tcPr>
            <w:tcW w:w="2972" w:type="dxa"/>
            <w:vAlign w:val="center"/>
          </w:tcPr>
          <w:p w14:paraId="1E8A0CE3" w14:textId="77777777" w:rsidR="00196073" w:rsidRPr="00196073" w:rsidRDefault="00196073" w:rsidP="009E1C6B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Postotak stanovništva od 0 do 14 godina u ukupnom stanovništvu</w:t>
            </w:r>
          </w:p>
        </w:tc>
        <w:tc>
          <w:tcPr>
            <w:tcW w:w="2126" w:type="dxa"/>
            <w:vAlign w:val="center"/>
          </w:tcPr>
          <w:p w14:paraId="311D1E5B" w14:textId="77777777" w:rsidR="00196073" w:rsidRPr="009E1C6B" w:rsidRDefault="00196073" w:rsidP="009E1C6B">
            <w:pPr>
              <w:jc w:val="center"/>
              <w:rPr>
                <w:rFonts w:ascii="Times New Roman" w:hAnsi="Times New Roman" w:cs="Times New Roman"/>
              </w:rPr>
            </w:pPr>
            <w:r w:rsidRPr="009E1C6B">
              <w:rPr>
                <w:rFonts w:ascii="Times New Roman" w:hAnsi="Times New Roman" w:cs="Times New Roman"/>
              </w:rPr>
              <w:t>14,3% (2017.)</w:t>
            </w:r>
          </w:p>
        </w:tc>
        <w:tc>
          <w:tcPr>
            <w:tcW w:w="1985" w:type="dxa"/>
            <w:vAlign w:val="center"/>
          </w:tcPr>
          <w:p w14:paraId="4522643F" w14:textId="77777777" w:rsidR="00196073" w:rsidRPr="009E1C6B" w:rsidRDefault="00196073" w:rsidP="009E1C6B">
            <w:pPr>
              <w:jc w:val="center"/>
              <w:rPr>
                <w:rFonts w:ascii="Times New Roman" w:hAnsi="Times New Roman" w:cs="Times New Roman"/>
              </w:rPr>
            </w:pPr>
            <w:r w:rsidRPr="009E1C6B">
              <w:rPr>
                <w:rFonts w:ascii="Times New Roman" w:hAnsi="Times New Roman" w:cs="Times New Roman"/>
              </w:rPr>
              <w:t>&gt; 15%</w:t>
            </w:r>
          </w:p>
        </w:tc>
        <w:tc>
          <w:tcPr>
            <w:tcW w:w="1979" w:type="dxa"/>
            <w:vAlign w:val="center"/>
          </w:tcPr>
          <w:p w14:paraId="536CA0E6" w14:textId="38E59141" w:rsidR="00196073" w:rsidRPr="009E1C6B" w:rsidRDefault="00365A64" w:rsidP="0010243C">
            <w:pPr>
              <w:jc w:val="center"/>
              <w:rPr>
                <w:rFonts w:ascii="Times New Roman" w:hAnsi="Times New Roman" w:cs="Times New Roman"/>
              </w:rPr>
            </w:pPr>
            <w:r w:rsidRPr="009E1C6B">
              <w:rPr>
                <w:rFonts w:ascii="Times New Roman" w:hAnsi="Times New Roman" w:cs="Times New Roman"/>
              </w:rPr>
              <w:t>13,</w:t>
            </w:r>
            <w:r w:rsidR="006E3ABB" w:rsidRPr="009E1C6B">
              <w:rPr>
                <w:rFonts w:ascii="Times New Roman" w:hAnsi="Times New Roman" w:cs="Times New Roman"/>
              </w:rPr>
              <w:t>7</w:t>
            </w:r>
            <w:r w:rsidR="009E1C6B" w:rsidRPr="009E1C6B">
              <w:rPr>
                <w:rFonts w:ascii="Times New Roman" w:hAnsi="Times New Roman" w:cs="Times New Roman"/>
              </w:rPr>
              <w:t>9</w:t>
            </w:r>
            <w:r w:rsidRPr="009E1C6B">
              <w:rPr>
                <w:rFonts w:ascii="Times New Roman" w:hAnsi="Times New Roman" w:cs="Times New Roman"/>
              </w:rPr>
              <w:t>% (202</w:t>
            </w:r>
            <w:r w:rsidR="009E1C6B" w:rsidRPr="009E1C6B">
              <w:rPr>
                <w:rFonts w:ascii="Times New Roman" w:hAnsi="Times New Roman" w:cs="Times New Roman"/>
              </w:rPr>
              <w:t>2</w:t>
            </w:r>
            <w:r w:rsidRPr="009E1C6B">
              <w:rPr>
                <w:rFonts w:ascii="Times New Roman" w:hAnsi="Times New Roman" w:cs="Times New Roman"/>
              </w:rPr>
              <w:t>.)</w:t>
            </w:r>
          </w:p>
        </w:tc>
      </w:tr>
      <w:tr w:rsidR="009E1C6B" w14:paraId="32616CE4" w14:textId="77777777" w:rsidTr="009B5FD8">
        <w:tc>
          <w:tcPr>
            <w:tcW w:w="2972" w:type="dxa"/>
            <w:vAlign w:val="center"/>
          </w:tcPr>
          <w:p w14:paraId="140C7DBF" w14:textId="77777777" w:rsidR="009E1C6B" w:rsidRPr="00196073" w:rsidRDefault="009E1C6B" w:rsidP="009E1C6B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Iznos isplaćenih potpora za novorođenu djecu</w:t>
            </w:r>
          </w:p>
        </w:tc>
        <w:tc>
          <w:tcPr>
            <w:tcW w:w="2126" w:type="dxa"/>
            <w:vAlign w:val="center"/>
          </w:tcPr>
          <w:p w14:paraId="3E40BB1D" w14:textId="022E5D7C" w:rsidR="009E1C6B" w:rsidRPr="009B5FD8" w:rsidRDefault="009E1C6B" w:rsidP="009E1C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 xml:space="preserve">2.141.000 HRK </w:t>
            </w:r>
            <w:r w:rsidR="00FC3FD0" w:rsidRPr="009B5FD8">
              <w:rPr>
                <w:rFonts w:ascii="Times New Roman" w:hAnsi="Times New Roman" w:cs="Times New Roman"/>
                <w:sz w:val="23"/>
                <w:szCs w:val="23"/>
              </w:rPr>
              <w:t xml:space="preserve">(284.159,53 EUR) </w:t>
            </w: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>(2020.)</w:t>
            </w:r>
          </w:p>
        </w:tc>
        <w:tc>
          <w:tcPr>
            <w:tcW w:w="1985" w:type="dxa"/>
            <w:vAlign w:val="center"/>
          </w:tcPr>
          <w:p w14:paraId="54572040" w14:textId="181267DF" w:rsidR="009E1C6B" w:rsidRPr="009B5FD8" w:rsidRDefault="009E1C6B" w:rsidP="009E1C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>&gt; 2.500.000 HRK</w:t>
            </w:r>
            <w:r w:rsidRPr="009B5FD8">
              <w:rPr>
                <w:rFonts w:ascii="Times New Roman" w:hAnsi="Times New Roman" w:cs="Times New Roman"/>
                <w:sz w:val="23"/>
                <w:szCs w:val="23"/>
              </w:rPr>
              <w:br/>
              <w:t>(331.807,02</w:t>
            </w:r>
            <w:r w:rsidR="00FC3FD0" w:rsidRPr="009B5FD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>EUR)</w:t>
            </w:r>
          </w:p>
        </w:tc>
        <w:tc>
          <w:tcPr>
            <w:tcW w:w="1979" w:type="dxa"/>
            <w:vAlign w:val="center"/>
          </w:tcPr>
          <w:p w14:paraId="5F342DCE" w14:textId="77777777" w:rsidR="009E1C6B" w:rsidRDefault="009E1C6B" w:rsidP="009E1C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>1.887.960,36 HRK</w:t>
            </w:r>
            <w:r w:rsidRPr="009B5FD8">
              <w:rPr>
                <w:rFonts w:ascii="Times New Roman" w:hAnsi="Times New Roman" w:cs="Times New Roman"/>
                <w:sz w:val="23"/>
                <w:szCs w:val="23"/>
              </w:rPr>
              <w:br/>
              <w:t>(250.575,</w:t>
            </w:r>
            <w:r w:rsidR="006637E7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  <w:r w:rsidRPr="009B5FD8">
              <w:rPr>
                <w:rFonts w:ascii="Times New Roman" w:hAnsi="Times New Roman" w:cs="Times New Roman"/>
                <w:sz w:val="23"/>
                <w:szCs w:val="23"/>
              </w:rPr>
              <w:t xml:space="preserve"> EUR)</w:t>
            </w:r>
          </w:p>
          <w:p w14:paraId="2D7D137D" w14:textId="313D2D02" w:rsidR="006637E7" w:rsidRPr="009B5FD8" w:rsidRDefault="006637E7" w:rsidP="009E1C6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(2023.)</w:t>
            </w:r>
          </w:p>
        </w:tc>
      </w:tr>
      <w:tr w:rsidR="00196073" w14:paraId="52777F70" w14:textId="77777777" w:rsidTr="009B5FD8">
        <w:tc>
          <w:tcPr>
            <w:tcW w:w="2972" w:type="dxa"/>
            <w:vAlign w:val="center"/>
          </w:tcPr>
          <w:p w14:paraId="5E9B2F6F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Saldo ukupne migracije, po županiji</w:t>
            </w:r>
          </w:p>
        </w:tc>
        <w:tc>
          <w:tcPr>
            <w:tcW w:w="2126" w:type="dxa"/>
            <w:vAlign w:val="center"/>
          </w:tcPr>
          <w:p w14:paraId="02778F8B" w14:textId="77777777" w:rsidR="00196073" w:rsidRPr="009E1C6B" w:rsidRDefault="00196073" w:rsidP="001960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1C6B">
              <w:rPr>
                <w:rFonts w:ascii="Times New Roman" w:hAnsi="Times New Roman" w:cs="Times New Roman"/>
                <w:b/>
                <w:bCs/>
              </w:rPr>
              <w:t>–</w:t>
            </w:r>
            <w:r w:rsidRPr="009E1C6B">
              <w:rPr>
                <w:rFonts w:ascii="Times New Roman" w:hAnsi="Times New Roman" w:cs="Times New Roman"/>
              </w:rPr>
              <w:t>948 (2020.)</w:t>
            </w:r>
          </w:p>
        </w:tc>
        <w:tc>
          <w:tcPr>
            <w:tcW w:w="1985" w:type="dxa"/>
            <w:vAlign w:val="center"/>
          </w:tcPr>
          <w:p w14:paraId="3FCA6F49" w14:textId="77777777" w:rsidR="00196073" w:rsidRPr="009E1C6B" w:rsidRDefault="00196073" w:rsidP="00196073">
            <w:pPr>
              <w:jc w:val="center"/>
              <w:rPr>
                <w:rFonts w:ascii="Times New Roman" w:hAnsi="Times New Roman" w:cs="Times New Roman"/>
              </w:rPr>
            </w:pPr>
            <w:r w:rsidRPr="009E1C6B">
              <w:rPr>
                <w:rFonts w:ascii="Times New Roman" w:hAnsi="Times New Roman" w:cs="Times New Roman"/>
              </w:rPr>
              <w:t>&gt; 0</w:t>
            </w:r>
          </w:p>
        </w:tc>
        <w:tc>
          <w:tcPr>
            <w:tcW w:w="1979" w:type="dxa"/>
            <w:vAlign w:val="center"/>
          </w:tcPr>
          <w:p w14:paraId="541C084E" w14:textId="4D50DDDF" w:rsidR="00196073" w:rsidRPr="009E1C6B" w:rsidRDefault="00365A64" w:rsidP="00365A64">
            <w:pPr>
              <w:jc w:val="center"/>
              <w:rPr>
                <w:rFonts w:ascii="Times New Roman" w:hAnsi="Times New Roman" w:cs="Times New Roman"/>
              </w:rPr>
            </w:pPr>
            <w:r w:rsidRPr="009E1C6B">
              <w:rPr>
                <w:rFonts w:ascii="Times New Roman" w:hAnsi="Times New Roman" w:cs="Times New Roman"/>
              </w:rPr>
              <w:t>-</w:t>
            </w:r>
            <w:r w:rsidR="00B830FB">
              <w:rPr>
                <w:rFonts w:ascii="Times New Roman" w:hAnsi="Times New Roman" w:cs="Times New Roman"/>
              </w:rPr>
              <w:t>1060</w:t>
            </w:r>
            <w:r w:rsidR="009E1C6B" w:rsidRPr="009E1C6B">
              <w:rPr>
                <w:rFonts w:ascii="Times New Roman" w:hAnsi="Times New Roman" w:cs="Times New Roman"/>
              </w:rPr>
              <w:t xml:space="preserve"> </w:t>
            </w:r>
            <w:r w:rsidRPr="009E1C6B">
              <w:rPr>
                <w:rFonts w:ascii="Times New Roman" w:hAnsi="Times New Roman" w:cs="Times New Roman"/>
              </w:rPr>
              <w:t>(202</w:t>
            </w:r>
            <w:r w:rsidR="009E1C6B" w:rsidRPr="009E1C6B">
              <w:rPr>
                <w:rFonts w:ascii="Times New Roman" w:hAnsi="Times New Roman" w:cs="Times New Roman"/>
              </w:rPr>
              <w:t>2</w:t>
            </w:r>
            <w:r w:rsidRPr="009E1C6B">
              <w:rPr>
                <w:rFonts w:ascii="Times New Roman" w:hAnsi="Times New Roman" w:cs="Times New Roman"/>
              </w:rPr>
              <w:t>.)</w:t>
            </w:r>
          </w:p>
        </w:tc>
      </w:tr>
    </w:tbl>
    <w:p w14:paraId="4D60C321" w14:textId="0F9074D2" w:rsidR="00650F05" w:rsidRPr="00650F05" w:rsidRDefault="00650F05" w:rsidP="00650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2AA1DB" w14:textId="77777777" w:rsidR="00650F05" w:rsidRPr="00650F05" w:rsidRDefault="00650F05" w:rsidP="00945E62">
      <w:pPr>
        <w:pStyle w:val="Default"/>
        <w:spacing w:after="240" w:line="360" w:lineRule="auto"/>
        <w:outlineLvl w:val="2"/>
      </w:pPr>
      <w:bookmarkStart w:id="4" w:name="_Toc128473023"/>
      <w:r w:rsidRPr="00650F05">
        <w:t>1.2. Opis napretka u provedbi posebnog cilja 1</w:t>
      </w:r>
      <w:bookmarkEnd w:id="4"/>
      <w:r w:rsidRPr="00650F05">
        <w:t xml:space="preserve"> </w:t>
      </w:r>
    </w:p>
    <w:p w14:paraId="4290125E" w14:textId="0B85B00C" w:rsidR="00365A64" w:rsidRDefault="00365A64" w:rsidP="00650F05">
      <w:pPr>
        <w:pStyle w:val="Default"/>
        <w:spacing w:after="240" w:line="360" w:lineRule="auto"/>
        <w:jc w:val="both"/>
      </w:pPr>
      <w:r>
        <w:t>Podrška demografskoj revitalizaciji i osnaživanje obitelji snažno ovis</w:t>
      </w:r>
      <w:r w:rsidR="000C19E7">
        <w:t>e</w:t>
      </w:r>
      <w:r>
        <w:t xml:space="preserve"> o ukupnim demografskim trendovima na području županije, koji su, prema pokazateljima, </w:t>
      </w:r>
      <w:r w:rsidR="0010243C">
        <w:t xml:space="preserve">kao </w:t>
      </w:r>
      <w:r>
        <w:t>i u prethodnoj godini nastavili s negativnim trendom</w:t>
      </w:r>
      <w:r w:rsidR="0010243C">
        <w:t xml:space="preserve"> uz </w:t>
      </w:r>
      <w:r w:rsidR="00B830FB">
        <w:t>minimalan napredak u odnosu na Godišnje izvješće za 2022. godinu</w:t>
      </w:r>
      <w:r>
        <w:t xml:space="preserve">. </w:t>
      </w:r>
    </w:p>
    <w:p w14:paraId="2C1D88C0" w14:textId="40DB07FD" w:rsidR="00365A64" w:rsidRDefault="000C19E7" w:rsidP="00650F05">
      <w:pPr>
        <w:pStyle w:val="Default"/>
        <w:spacing w:after="240" w:line="360" w:lineRule="auto"/>
        <w:jc w:val="both"/>
      </w:pPr>
      <w:r>
        <w:t>Naime</w:t>
      </w:r>
      <w:r w:rsidR="00365A64">
        <w:t xml:space="preserve">, </w:t>
      </w:r>
      <w:r>
        <w:t xml:space="preserve">podaci pokazuju da je </w:t>
      </w:r>
      <w:r w:rsidR="00365A64">
        <w:t>ud</w:t>
      </w:r>
      <w:r w:rsidR="00B830FB">
        <w:t>io</w:t>
      </w:r>
      <w:r w:rsidR="00365A64">
        <w:t xml:space="preserve"> najmlađeg stanovništva (od 0-14 godina) prema procjeni stanovništva u </w:t>
      </w:r>
      <w:r w:rsidR="00AB7BE1" w:rsidRPr="00AC0827">
        <w:t>OBŽ</w:t>
      </w:r>
      <w:r w:rsidR="00B830FB">
        <w:t xml:space="preserve"> </w:t>
      </w:r>
      <w:r w:rsidR="00874327">
        <w:t xml:space="preserve">u 2023. </w:t>
      </w:r>
      <w:r w:rsidR="00B830FB">
        <w:t xml:space="preserve">ostao gotovo isti </w:t>
      </w:r>
      <w:r w:rsidR="00874327">
        <w:t xml:space="preserve">u odnosu na Godišnje izvješće za 2022. godinu </w:t>
      </w:r>
      <w:r w:rsidR="00B830FB">
        <w:t>(13,79% u odnosu na 13,73%)</w:t>
      </w:r>
      <w:r w:rsidR="00365A64">
        <w:t xml:space="preserve">, a prema podacima o migraciji stanovništva </w:t>
      </w:r>
      <w:r w:rsidR="00874327">
        <w:t xml:space="preserve">u inozemstvo je otišlo 607 osoba više od novodoseljenih osoba, dok su u drugu županiju otišle 453 osobe više nego što ih se doselilo. </w:t>
      </w:r>
      <w:r w:rsidR="00365A64">
        <w:t xml:space="preserve">Navedeno je utjecalo i na iznos isplaćenih potpora koje su u proračunu </w:t>
      </w:r>
      <w:r w:rsidR="00AB7BE1">
        <w:t>OBŽ</w:t>
      </w:r>
      <w:r w:rsidR="00365A64">
        <w:t xml:space="preserve"> namijenjene za novorođenu djecu te je smanjen ukupni iznos u odnosu na početnu vrijednosti iz 2020. godine.</w:t>
      </w:r>
    </w:p>
    <w:p w14:paraId="0413F71C" w14:textId="2E639707" w:rsidR="00365A64" w:rsidRPr="001B7BEB" w:rsidRDefault="00365A64" w:rsidP="00650F05">
      <w:pPr>
        <w:pStyle w:val="Default"/>
        <w:spacing w:after="240" w:line="360" w:lineRule="auto"/>
        <w:jc w:val="both"/>
      </w:pPr>
      <w:r w:rsidRPr="001B7BEB">
        <w:t xml:space="preserve">Općepoznata je činjenica da Hrvatska već dugi niz godina bilježi vrlo nepovoljne demografske trendove. Postojeći demografski procesi </w:t>
      </w:r>
      <w:r w:rsidR="00032129">
        <w:t>-</w:t>
      </w:r>
      <w:r w:rsidR="002A0696" w:rsidRPr="001B7BEB">
        <w:t xml:space="preserve"> dugoročno nizak fertilitet i stoljeće stalnog iseljavanja iz Hrvatske </w:t>
      </w:r>
      <w:r w:rsidR="00032129">
        <w:t>-</w:t>
      </w:r>
      <w:r w:rsidR="002A0696" w:rsidRPr="001B7BEB">
        <w:t xml:space="preserve"> </w:t>
      </w:r>
      <w:r w:rsidRPr="001B7BEB">
        <w:t xml:space="preserve">rezultat su dugoročnih prošlih kretanja </w:t>
      </w:r>
      <w:r w:rsidR="002A0696" w:rsidRPr="001B7BEB">
        <w:t>čije su se očite p</w:t>
      </w:r>
      <w:r w:rsidRPr="001B7BEB">
        <w:t>osljedice duboko</w:t>
      </w:r>
      <w:r w:rsidR="001B7BEB">
        <w:t xml:space="preserve"> ukorijenile</w:t>
      </w:r>
      <w:r w:rsidRPr="001B7BEB">
        <w:t>: dugogodišnje smanjivanje ukupnog broja stanovnika, prirodno smanjenje, demografsko starenje, nedostatak radne snage, problem skrbi o</w:t>
      </w:r>
      <w:r w:rsidR="001B7BEB">
        <w:t xml:space="preserve"> starijim</w:t>
      </w:r>
      <w:r w:rsidRPr="001B7BEB">
        <w:t xml:space="preserve"> sam</w:t>
      </w:r>
      <w:r w:rsidR="002A0696" w:rsidRPr="001B7BEB">
        <w:t xml:space="preserve">ačkim kućanstvima </w:t>
      </w:r>
      <w:r w:rsidR="002A0696" w:rsidRPr="001B7BEB">
        <w:lastRenderedPageBreak/>
        <w:t>na velikom</w:t>
      </w:r>
      <w:r w:rsidR="001B7BEB">
        <w:t>, rijetko</w:t>
      </w:r>
      <w:r w:rsidRPr="001B7BEB">
        <w:t xml:space="preserve"> naseljenom prostoru, problem mirovinsk</w:t>
      </w:r>
      <w:r w:rsidR="002A0696" w:rsidRPr="001B7BEB">
        <w:t>og, zdravstvenog i sustava</w:t>
      </w:r>
      <w:r w:rsidR="001B7BEB">
        <w:t xml:space="preserve"> socijalnog</w:t>
      </w:r>
      <w:r w:rsidRPr="001B7BEB">
        <w:t xml:space="preserve"> osiguranja i dugogodišnji ekonomski pad</w:t>
      </w:r>
      <w:r w:rsidR="002A0696" w:rsidRPr="001B7BEB">
        <w:t xml:space="preserve"> odnosno slabiji ekonomski rast.</w:t>
      </w:r>
    </w:p>
    <w:p w14:paraId="0CFB99FC" w14:textId="6174471C" w:rsidR="002A0696" w:rsidRDefault="002A0696" w:rsidP="00650F05">
      <w:pPr>
        <w:pStyle w:val="Default"/>
        <w:spacing w:after="240" w:line="360" w:lineRule="auto"/>
        <w:jc w:val="both"/>
      </w:pPr>
      <w:r w:rsidRPr="001B7BEB">
        <w:t xml:space="preserve">U tom smislu, </w:t>
      </w:r>
      <w:r w:rsidR="00AB7BE1" w:rsidRPr="001B7BEB">
        <w:t>OBŽ</w:t>
      </w:r>
      <w:r w:rsidRPr="001B7BEB">
        <w:t xml:space="preserve"> je jedna od</w:t>
      </w:r>
      <w:r w:rsidR="001B7BEB">
        <w:t xml:space="preserve"> </w:t>
      </w:r>
      <w:proofErr w:type="spellStart"/>
      <w:r w:rsidR="001B7BEB">
        <w:t>najpogođenijih</w:t>
      </w:r>
      <w:proofErr w:type="spellEnd"/>
      <w:r w:rsidR="00AB7BE1" w:rsidRPr="001B7BEB">
        <w:t xml:space="preserve"> županija</w:t>
      </w:r>
      <w:r w:rsidRPr="001B7BEB">
        <w:t xml:space="preserve">, pri čemu urbano područje Grada Osijeka bilježi razmjerno najmanju razinu depopulacije, dok manja urbana i osobito ruralna područja bilježe mnogo bržu stopu depopulacije. </w:t>
      </w:r>
      <w:r w:rsidR="00AB7BE1" w:rsidRPr="001B7BEB">
        <w:t>OBŽ</w:t>
      </w:r>
      <w:r w:rsidRPr="001B7BEB">
        <w:t xml:space="preserve"> pritom nastoji svojim politikama utjecati</w:t>
      </w:r>
      <w:r>
        <w:t xml:space="preserve"> na zadržavanje stanovništva u mjeri u kojoj je to moguće s obzirom na njezinu nadležnost</w:t>
      </w:r>
      <w:r w:rsidR="00741A6C">
        <w:t xml:space="preserve"> (npr. </w:t>
      </w:r>
      <w:r w:rsidR="00B1284F">
        <w:t>kroz sufinanciranje stambenih kredita mladim obiteljima)</w:t>
      </w:r>
      <w:r>
        <w:t xml:space="preserve">, no najveći teret javnih politika usmjerenih na demografsko očuvanje i rast leži na nacionalnoj razini i na jedinicama lokalne samouprave. </w:t>
      </w:r>
      <w:r w:rsidR="00AB7BE1">
        <w:t>Stoga, u</w:t>
      </w:r>
      <w:r>
        <w:t>klanjanje rizika depopulacije najvažniji je cilj javnih politika na svim razinama i zahtijeva sinergijsko djelovanje svih dionika razvoja.</w:t>
      </w:r>
    </w:p>
    <w:p w14:paraId="2B4EFD7D" w14:textId="77777777" w:rsidR="00650F05" w:rsidRDefault="002A0696" w:rsidP="00650F05">
      <w:pPr>
        <w:pStyle w:val="Default"/>
        <w:spacing w:after="240" w:line="360" w:lineRule="auto"/>
        <w:jc w:val="both"/>
      </w:pPr>
      <w:r>
        <w:t xml:space="preserve">Preduvjeti za smanjenje demografskog pada </w:t>
      </w:r>
      <w:r w:rsidR="00AB7BE1">
        <w:t xml:space="preserve">leže u sveukupnom gospodarskom i društvenom razvoju, kako OBŽ, tako i Hrvatske te je preokretanje trenda depopulacije potrebno tražiti kroz postizanje ostalih posebnih ciljeva u </w:t>
      </w:r>
      <w:r w:rsidR="00AB7BE1" w:rsidRPr="00AC0827">
        <w:t>Planu razvoja, kao i strateških ciljeva u NRS 2030.</w:t>
      </w:r>
      <w:r w:rsidR="00650F05" w:rsidRPr="00650F05">
        <w:t xml:space="preserve"> </w:t>
      </w:r>
    </w:p>
    <w:p w14:paraId="105F6CF2" w14:textId="44B930C3" w:rsidR="00CC0BF1" w:rsidRPr="00650F05" w:rsidRDefault="00CC0BF1" w:rsidP="001E677E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B830FB">
        <w:t>3</w:t>
      </w:r>
      <w:r w:rsidR="00177690">
        <w:t>. godini</w:t>
      </w:r>
      <w:r>
        <w:t xml:space="preserve"> na realizaciju posebnog cilja 1 utrošeno </w:t>
      </w:r>
      <w:r w:rsidR="00B830FB" w:rsidRPr="00B830FB">
        <w:t xml:space="preserve">631.766,54 </w:t>
      </w:r>
      <w:r w:rsidR="00B830FB">
        <w:t xml:space="preserve"> eura </w:t>
      </w:r>
      <w:r w:rsidR="00B830FB" w:rsidRPr="00B830FB">
        <w:t>(4.760.045,00</w:t>
      </w:r>
      <w:r w:rsidR="00B830FB">
        <w:t xml:space="preserve"> kuna</w:t>
      </w:r>
      <w:r w:rsidR="00B830FB" w:rsidRPr="00B830FB">
        <w:t>)</w:t>
      </w:r>
      <w:r w:rsidR="0042775F">
        <w:t>.</w:t>
      </w:r>
      <w:r>
        <w:t xml:space="preserve"> </w:t>
      </w:r>
    </w:p>
    <w:p w14:paraId="37E32CCC" w14:textId="77777777" w:rsidR="00945E62" w:rsidRPr="001049FC" w:rsidRDefault="00945E62" w:rsidP="001E677E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5" w:name="_Toc128473024"/>
      <w:bookmarkStart w:id="6" w:name="_Hlk159334492"/>
      <w:r w:rsidRPr="001049FC">
        <w:rPr>
          <w:b/>
          <w:bCs/>
        </w:rPr>
        <w:t xml:space="preserve">2. </w:t>
      </w:r>
      <w:r w:rsidR="00196073" w:rsidRPr="001049FC">
        <w:rPr>
          <w:b/>
          <w:bCs/>
        </w:rPr>
        <w:t>Razvoj i unaprjeđenje sustava zdravstva i socijalne skrbi</w:t>
      </w:r>
      <w:bookmarkEnd w:id="5"/>
      <w:r w:rsidRPr="001049FC">
        <w:rPr>
          <w:b/>
          <w:bCs/>
        </w:rPr>
        <w:t xml:space="preserve"> </w:t>
      </w:r>
    </w:p>
    <w:p w14:paraId="213A6062" w14:textId="77777777" w:rsidR="00945E62" w:rsidRPr="00650F05" w:rsidRDefault="00945E62" w:rsidP="001E677E">
      <w:pPr>
        <w:pStyle w:val="Default"/>
        <w:spacing w:after="240" w:line="360" w:lineRule="auto"/>
        <w:jc w:val="both"/>
        <w:outlineLvl w:val="2"/>
      </w:pPr>
      <w:bookmarkStart w:id="7" w:name="_Toc128473025"/>
      <w:r>
        <w:t>2</w:t>
      </w:r>
      <w:r w:rsidRPr="00650F05">
        <w:t>.</w:t>
      </w:r>
      <w:r>
        <w:t>1</w:t>
      </w:r>
      <w:r w:rsidRPr="00650F05">
        <w:t>. Ostvarene vrijednosti pokazatelja ishoda</w:t>
      </w:r>
      <w:bookmarkEnd w:id="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842"/>
        <w:gridCol w:w="2263"/>
      </w:tblGrid>
      <w:tr w:rsidR="00945E62" w14:paraId="4E963F6B" w14:textId="77777777" w:rsidTr="009B5FD8">
        <w:tc>
          <w:tcPr>
            <w:tcW w:w="2547" w:type="dxa"/>
            <w:vAlign w:val="center"/>
          </w:tcPr>
          <w:p w14:paraId="57905403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410" w:type="dxa"/>
            <w:vAlign w:val="center"/>
          </w:tcPr>
          <w:p w14:paraId="56F3CAB5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842" w:type="dxa"/>
            <w:vAlign w:val="center"/>
          </w:tcPr>
          <w:p w14:paraId="61B476DD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263" w:type="dxa"/>
            <w:vAlign w:val="center"/>
          </w:tcPr>
          <w:p w14:paraId="6340F8D0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528FE2C6" w14:textId="77777777" w:rsidTr="009B5FD8">
        <w:tc>
          <w:tcPr>
            <w:tcW w:w="2547" w:type="dxa"/>
            <w:vAlign w:val="center"/>
          </w:tcPr>
          <w:p w14:paraId="750BCF5F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Gustoća liječnika na 10.000 stanovnika</w:t>
            </w:r>
          </w:p>
        </w:tc>
        <w:tc>
          <w:tcPr>
            <w:tcW w:w="2410" w:type="dxa"/>
            <w:vAlign w:val="center"/>
          </w:tcPr>
          <w:p w14:paraId="611F781B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34,36 (2018.)</w:t>
            </w:r>
          </w:p>
        </w:tc>
        <w:tc>
          <w:tcPr>
            <w:tcW w:w="1842" w:type="dxa"/>
            <w:vAlign w:val="center"/>
          </w:tcPr>
          <w:p w14:paraId="0F4F82BF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37</w:t>
            </w:r>
          </w:p>
        </w:tc>
        <w:tc>
          <w:tcPr>
            <w:tcW w:w="2263" w:type="dxa"/>
            <w:vAlign w:val="center"/>
          </w:tcPr>
          <w:p w14:paraId="7857922E" w14:textId="77777777" w:rsidR="00196073" w:rsidRPr="0002342C" w:rsidRDefault="0002342C" w:rsidP="0002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42C">
              <w:rPr>
                <w:rFonts w:ascii="Times New Roman" w:hAnsi="Times New Roman" w:cs="Times New Roman"/>
                <w:sz w:val="24"/>
              </w:rPr>
              <w:t>33,4 (2021.)</w:t>
            </w:r>
          </w:p>
        </w:tc>
      </w:tr>
      <w:tr w:rsidR="00FC3FD0" w14:paraId="03095C0A" w14:textId="77777777" w:rsidTr="009B5FD8">
        <w:tc>
          <w:tcPr>
            <w:tcW w:w="2547" w:type="dxa"/>
            <w:vAlign w:val="center"/>
          </w:tcPr>
          <w:p w14:paraId="74FBADB4" w14:textId="77777777" w:rsidR="00FC3FD0" w:rsidRPr="00196073" w:rsidRDefault="00FC3FD0" w:rsidP="00FC3FD0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Rashodi za socijalnu zaštitu JLP(R)S, po stanovniku</w:t>
            </w:r>
          </w:p>
        </w:tc>
        <w:tc>
          <w:tcPr>
            <w:tcW w:w="2410" w:type="dxa"/>
            <w:vAlign w:val="center"/>
          </w:tcPr>
          <w:p w14:paraId="3DE130D1" w14:textId="77777777" w:rsidR="00FC3FD0" w:rsidRPr="009B5FD8" w:rsidRDefault="00FC3FD0" w:rsidP="00FC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D8">
              <w:rPr>
                <w:rFonts w:ascii="Times New Roman" w:hAnsi="Times New Roman" w:cs="Times New Roman"/>
                <w:sz w:val="24"/>
                <w:szCs w:val="24"/>
              </w:rPr>
              <w:t xml:space="preserve">224,24 HRK </w:t>
            </w:r>
          </w:p>
          <w:p w14:paraId="7643C22E" w14:textId="2435C55C" w:rsidR="00FC3FD0" w:rsidRPr="009B5FD8" w:rsidRDefault="00FC3FD0" w:rsidP="00FC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D8">
              <w:rPr>
                <w:rFonts w:ascii="Times New Roman" w:hAnsi="Times New Roman" w:cs="Times New Roman"/>
                <w:sz w:val="24"/>
                <w:szCs w:val="24"/>
              </w:rPr>
              <w:t>(29,76 EUR) (2020.)</w:t>
            </w:r>
          </w:p>
        </w:tc>
        <w:tc>
          <w:tcPr>
            <w:tcW w:w="1842" w:type="dxa"/>
            <w:vAlign w:val="center"/>
          </w:tcPr>
          <w:p w14:paraId="207D5F37" w14:textId="695C67FC" w:rsidR="00FC3FD0" w:rsidRPr="009B5FD8" w:rsidRDefault="00FC3FD0" w:rsidP="00FC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D8">
              <w:rPr>
                <w:rFonts w:ascii="Times New Roman" w:hAnsi="Times New Roman" w:cs="Times New Roman"/>
                <w:sz w:val="24"/>
                <w:szCs w:val="24"/>
              </w:rPr>
              <w:t>&gt; 244 HRK</w:t>
            </w:r>
            <w:r w:rsidRPr="009B5FD8">
              <w:rPr>
                <w:rFonts w:ascii="Times New Roman" w:hAnsi="Times New Roman" w:cs="Times New Roman"/>
                <w:sz w:val="24"/>
                <w:szCs w:val="24"/>
              </w:rPr>
              <w:br/>
              <w:t>(32,38 EUR)</w:t>
            </w:r>
          </w:p>
        </w:tc>
        <w:tc>
          <w:tcPr>
            <w:tcW w:w="2263" w:type="dxa"/>
            <w:vAlign w:val="center"/>
          </w:tcPr>
          <w:p w14:paraId="04BA883E" w14:textId="042618C9" w:rsidR="00FC3FD0" w:rsidRPr="009B5FD8" w:rsidRDefault="00FC3FD0" w:rsidP="00FC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D8">
              <w:rPr>
                <w:rFonts w:ascii="Times New Roman" w:hAnsi="Times New Roman" w:cs="Times New Roman"/>
                <w:sz w:val="24"/>
                <w:szCs w:val="24"/>
              </w:rPr>
              <w:t>226,70 HRK</w:t>
            </w:r>
            <w:r w:rsidRPr="009B5FD8">
              <w:rPr>
                <w:rFonts w:ascii="Times New Roman" w:hAnsi="Times New Roman" w:cs="Times New Roman"/>
                <w:sz w:val="24"/>
                <w:szCs w:val="24"/>
              </w:rPr>
              <w:br/>
              <w:t>(30,09 EUR)</w:t>
            </w:r>
            <w:r w:rsidR="009B5FD8">
              <w:rPr>
                <w:rFonts w:ascii="Times New Roman" w:hAnsi="Times New Roman" w:cs="Times New Roman"/>
                <w:sz w:val="24"/>
                <w:szCs w:val="24"/>
              </w:rPr>
              <w:t xml:space="preserve"> (2023.)</w:t>
            </w:r>
          </w:p>
        </w:tc>
      </w:tr>
      <w:tr w:rsidR="00196073" w14:paraId="77E72BBB" w14:textId="77777777" w:rsidTr="009B5FD8">
        <w:tc>
          <w:tcPr>
            <w:tcW w:w="2547" w:type="dxa"/>
            <w:vAlign w:val="center"/>
          </w:tcPr>
          <w:p w14:paraId="191C90E0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Broj domova za starije osobe</w:t>
            </w:r>
          </w:p>
        </w:tc>
        <w:tc>
          <w:tcPr>
            <w:tcW w:w="2410" w:type="dxa"/>
            <w:vAlign w:val="center"/>
          </w:tcPr>
          <w:p w14:paraId="77EE9F6A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12 (2021.)</w:t>
            </w:r>
            <w:r w:rsidRPr="00196073">
              <w:rPr>
                <w:rFonts w:ascii="Times New Roman" w:hAnsi="Times New Roman" w:cs="Times New Roman"/>
                <w:sz w:val="24"/>
              </w:rPr>
              <w:br/>
              <w:t>bez obiteljskih domova</w:t>
            </w:r>
          </w:p>
        </w:tc>
        <w:tc>
          <w:tcPr>
            <w:tcW w:w="1842" w:type="dxa"/>
            <w:vAlign w:val="center"/>
          </w:tcPr>
          <w:p w14:paraId="1866A5A3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15</w:t>
            </w:r>
            <w:r w:rsidRPr="00196073">
              <w:rPr>
                <w:rFonts w:ascii="Times New Roman" w:hAnsi="Times New Roman" w:cs="Times New Roman"/>
                <w:sz w:val="24"/>
              </w:rPr>
              <w:br/>
              <w:t>bez obiteljskih domova</w:t>
            </w:r>
          </w:p>
        </w:tc>
        <w:tc>
          <w:tcPr>
            <w:tcW w:w="2263" w:type="dxa"/>
            <w:vAlign w:val="center"/>
          </w:tcPr>
          <w:p w14:paraId="34ED2912" w14:textId="54C8A59E" w:rsidR="00196073" w:rsidRDefault="00442A2D" w:rsidP="000234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A2D">
              <w:rPr>
                <w:rFonts w:ascii="Times New Roman" w:hAnsi="Times New Roman" w:cs="Times New Roman"/>
                <w:sz w:val="24"/>
              </w:rPr>
              <w:t>14</w:t>
            </w:r>
            <w:r w:rsidR="0002342C" w:rsidRPr="00442A2D">
              <w:rPr>
                <w:rFonts w:ascii="Times New Roman" w:hAnsi="Times New Roman" w:cs="Times New Roman"/>
                <w:sz w:val="24"/>
              </w:rPr>
              <w:t xml:space="preserve"> (202</w:t>
            </w:r>
            <w:r w:rsidR="009B5FD8" w:rsidRPr="00442A2D">
              <w:rPr>
                <w:rFonts w:ascii="Times New Roman" w:hAnsi="Times New Roman" w:cs="Times New Roman"/>
                <w:sz w:val="24"/>
              </w:rPr>
              <w:t>3</w:t>
            </w:r>
            <w:r w:rsidR="0002342C" w:rsidRPr="00442A2D">
              <w:rPr>
                <w:rFonts w:ascii="Times New Roman" w:hAnsi="Times New Roman" w:cs="Times New Roman"/>
                <w:sz w:val="24"/>
              </w:rPr>
              <w:t>.)</w:t>
            </w:r>
          </w:p>
          <w:p w14:paraId="094D5CA0" w14:textId="77777777" w:rsidR="00307E0B" w:rsidRPr="0002342C" w:rsidRDefault="00307E0B" w:rsidP="00023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bez obiteljskih domova</w:t>
            </w:r>
          </w:p>
        </w:tc>
      </w:tr>
    </w:tbl>
    <w:p w14:paraId="7A859B51" w14:textId="62CD4EF8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8" w:name="_Hlk159415359"/>
    </w:p>
    <w:p w14:paraId="72A47253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9" w:name="_Toc128473026"/>
      <w:r>
        <w:t>2</w:t>
      </w:r>
      <w:r w:rsidRPr="00650F05">
        <w:t xml:space="preserve">.2. Opis napretka u provedbi posebnog cilja </w:t>
      </w:r>
      <w:r w:rsidR="00196073">
        <w:t>2</w:t>
      </w:r>
      <w:bookmarkEnd w:id="9"/>
      <w:r w:rsidRPr="00650F05">
        <w:t xml:space="preserve"> </w:t>
      </w:r>
    </w:p>
    <w:p w14:paraId="29C2DCC1" w14:textId="7640885F" w:rsidR="000C19E7" w:rsidRDefault="00C628AF" w:rsidP="00945E62">
      <w:pPr>
        <w:pStyle w:val="Default"/>
        <w:spacing w:after="240" w:line="360" w:lineRule="auto"/>
        <w:jc w:val="both"/>
      </w:pPr>
      <w:r>
        <w:t xml:space="preserve">Sukladno podacima, ostvaren je minimalan napredak u provedbi posebnog cilja 2. </w:t>
      </w:r>
      <w:r w:rsidRPr="00196073">
        <w:t>Razvoj i unaprjeđenje sustava zdravstva i socijalne skrbi</w:t>
      </w:r>
      <w:r>
        <w:t xml:space="preserve">. </w:t>
      </w:r>
      <w:r w:rsidR="005D41BF">
        <w:t>Iako</w:t>
      </w:r>
      <w:r>
        <w:t xml:space="preserve"> </w:t>
      </w:r>
      <w:r w:rsidR="006B4D22">
        <w:t>n</w:t>
      </w:r>
      <w:r w:rsidR="00622F9D">
        <w:t>e raspolažemo</w:t>
      </w:r>
      <w:r w:rsidR="006B4D22">
        <w:t xml:space="preserve"> poda</w:t>
      </w:r>
      <w:r w:rsidR="00622F9D">
        <w:t>cima</w:t>
      </w:r>
      <w:r w:rsidR="006B4D22">
        <w:t xml:space="preserve"> o </w:t>
      </w:r>
      <w:r>
        <w:t>gustoć</w:t>
      </w:r>
      <w:r w:rsidR="006B4D22">
        <w:t>i</w:t>
      </w:r>
      <w:r>
        <w:t xml:space="preserve"> liječnika na 10.000 stanovnika u </w:t>
      </w:r>
      <w:r w:rsidR="005D41BF">
        <w:t>2022. godin</w:t>
      </w:r>
      <w:r w:rsidR="00622F9D">
        <w:t>i</w:t>
      </w:r>
      <w:r>
        <w:t xml:space="preserve">, </w:t>
      </w:r>
      <w:r w:rsidR="00622F9D">
        <w:t xml:space="preserve">podaci iz 2021. godine ukazuju na </w:t>
      </w:r>
      <w:r w:rsidR="00AE5B20">
        <w:t xml:space="preserve">trend </w:t>
      </w:r>
      <w:r w:rsidR="00622F9D">
        <w:t xml:space="preserve">pada </w:t>
      </w:r>
      <w:r w:rsidR="00622F9D">
        <w:lastRenderedPageBreak/>
        <w:t>broja</w:t>
      </w:r>
      <w:r w:rsidR="00AE5B20">
        <w:t xml:space="preserve"> liječnika</w:t>
      </w:r>
      <w:r w:rsidR="00622F9D">
        <w:t xml:space="preserve"> </w:t>
      </w:r>
      <w:r w:rsidR="00AE5B20">
        <w:t>i ostalog medicinskog osoblja</w:t>
      </w:r>
      <w:r w:rsidR="00622F9D">
        <w:t xml:space="preserve"> zbog odlaska</w:t>
      </w:r>
      <w:r w:rsidR="00AE5B20">
        <w:t xml:space="preserve"> </w:t>
      </w:r>
      <w:r w:rsidR="00B03123">
        <w:t xml:space="preserve">u mirovinu ili </w:t>
      </w:r>
      <w:r w:rsidR="00622F9D">
        <w:t>izvan granica županije</w:t>
      </w:r>
      <w:r w:rsidR="00AE5B20">
        <w:t xml:space="preserve">. S druge strane, </w:t>
      </w:r>
      <w:r w:rsidR="005D41BF">
        <w:t>utjecaj na</w:t>
      </w:r>
      <w:r w:rsidR="00AE5B20">
        <w:t xml:space="preserve"> gustoć</w:t>
      </w:r>
      <w:r w:rsidR="005D41BF">
        <w:t>u</w:t>
      </w:r>
      <w:r w:rsidR="00AE5B20">
        <w:t xml:space="preserve"> liječnika je vjerojatno manj</w:t>
      </w:r>
      <w:r w:rsidR="005D41BF">
        <w:t>i</w:t>
      </w:r>
      <w:r w:rsidR="00AE5B20">
        <w:t xml:space="preserve"> zbog činjenice da na području OBŽ djeluje KBC Osije</w:t>
      </w:r>
      <w:r w:rsidR="002D20E2">
        <w:t>k, kojem gravitira oko 900.000 pacijenata s istoka Hrvatske.</w:t>
      </w:r>
    </w:p>
    <w:p w14:paraId="339BA2AB" w14:textId="404EB7D6" w:rsidR="002D20E2" w:rsidRDefault="002D20E2" w:rsidP="00945E62">
      <w:pPr>
        <w:pStyle w:val="Default"/>
        <w:spacing w:after="240" w:line="360" w:lineRule="auto"/>
        <w:jc w:val="both"/>
      </w:pPr>
      <w:r>
        <w:t xml:space="preserve">Prema podacima, u OBŽ su rasli rashodi za socijalnu zaštitu po stanovniku u odnosu na početnu vrijednost pokazatelja, </w:t>
      </w:r>
      <w:r w:rsidRPr="00442A2D">
        <w:t xml:space="preserve">dok je broj domova za starije osobe </w:t>
      </w:r>
      <w:r w:rsidR="00442A2D" w:rsidRPr="00442A2D">
        <w:t>porastao u</w:t>
      </w:r>
      <w:r w:rsidRPr="00442A2D">
        <w:t xml:space="preserve"> 202</w:t>
      </w:r>
      <w:r w:rsidR="004648D0" w:rsidRPr="00442A2D">
        <w:t>3</w:t>
      </w:r>
      <w:r w:rsidRPr="00442A2D">
        <w:t>. godini</w:t>
      </w:r>
      <w:r w:rsidR="008D6CF3" w:rsidRPr="008D6CF3">
        <w:t xml:space="preserve"> </w:t>
      </w:r>
      <w:r w:rsidR="008D6CF3">
        <w:t>gotovo postižući ciljnu vrijednost za 2027. godinu</w:t>
      </w:r>
      <w:r w:rsidR="00442A2D">
        <w:t>. Valja napomenuti da od 14 domova dva imaju jednu podružnicu, a jedan dom ima tri podružnice</w:t>
      </w:r>
      <w:r w:rsidR="008D6CF3">
        <w:t>,</w:t>
      </w:r>
      <w:r w:rsidR="00442A2D">
        <w:t xml:space="preserve">. </w:t>
      </w:r>
      <w:r w:rsidR="00ED086D">
        <w:t>Napominjemo da ovdje</w:t>
      </w:r>
      <w:r>
        <w:t xml:space="preserve"> nisu uključeni obiteljski domovi koji pružaju uslugu smještaja starijim osobama, s obzirom da </w:t>
      </w:r>
      <w:r w:rsidR="00442A2D">
        <w:t xml:space="preserve">je promjenom zakonodavstva predviđena </w:t>
      </w:r>
      <w:r w:rsidR="004648D0">
        <w:t>njihov</w:t>
      </w:r>
      <w:r w:rsidR="00442A2D">
        <w:t>a</w:t>
      </w:r>
      <w:r>
        <w:t xml:space="preserve"> postupn</w:t>
      </w:r>
      <w:r w:rsidR="00442A2D">
        <w:t>a</w:t>
      </w:r>
      <w:r>
        <w:t xml:space="preserve"> </w:t>
      </w:r>
      <w:r w:rsidR="004648D0">
        <w:t>transformacij</w:t>
      </w:r>
      <w:r w:rsidR="00442A2D">
        <w:t>a</w:t>
      </w:r>
      <w:r w:rsidR="004648D0">
        <w:t xml:space="preserve"> u ustanove, trgovačka društva</w:t>
      </w:r>
      <w:r>
        <w:t xml:space="preserve"> </w:t>
      </w:r>
      <w:r w:rsidR="004648D0">
        <w:t xml:space="preserve">ili obrte </w:t>
      </w:r>
      <w:r>
        <w:t xml:space="preserve">u narednom razdoblju. </w:t>
      </w:r>
    </w:p>
    <w:p w14:paraId="7436D501" w14:textId="77777777" w:rsidR="00B03123" w:rsidRDefault="00D26078" w:rsidP="00945E62">
      <w:pPr>
        <w:pStyle w:val="Default"/>
        <w:spacing w:after="240" w:line="360" w:lineRule="auto"/>
        <w:jc w:val="both"/>
      </w:pPr>
      <w:r>
        <w:t xml:space="preserve">Rizici s kojima se suočava OBŽ u postignuću ovog posebnog cilja jednaki su kao i u drugim županijama: smanjivanje broja zdravstvenih radnika, starenje stanovništva i povećanje njegove ranjivosti, tj. broja osoba kojima je potrebna neka od usluga iz sustava socijalne skrbi. U tom pogledu, na području OBŽ ulažu se značajna sredstva i u sustav zdravstva i u sustav socijalne skrbi te se planiraju daljnja ulaganja u infrastrukturu i ljudske potencijale. </w:t>
      </w:r>
    </w:p>
    <w:p w14:paraId="79D440D0" w14:textId="1EE32DED" w:rsidR="00B03123" w:rsidRDefault="00B03123" w:rsidP="00B03123">
      <w:pPr>
        <w:pStyle w:val="Default"/>
        <w:spacing w:after="240" w:line="360" w:lineRule="auto"/>
        <w:jc w:val="both"/>
      </w:pPr>
      <w:r>
        <w:t xml:space="preserve">Sukladno tome, </w:t>
      </w:r>
      <w:r w:rsidRPr="00B03123">
        <w:t xml:space="preserve">OBŽ u području socijalne skrbi planira nekoliko projekata od strateškog značaja kao što su izgradnja Centra za starije osobe Našice u kojem sudjeluje kao partner Gradu radi osiguravanja dodatnog smještajnog kapaciteta za nepokretne korisnike i korisnike koji boluju od Alzheimera i drugih demencija te izvaninstitucionalne socijalne usluge. Također, planiraju se dodatni smještajni kapaciteti u Osijeku za osobe oboljele od Alzheimerove bolesti u Domu za starije i nemoćne osobe Osijek. </w:t>
      </w:r>
      <w:r>
        <w:t xml:space="preserve">Povećanje institucionalne skrbi za starije osobe te </w:t>
      </w:r>
      <w:r w:rsidR="00C533BE">
        <w:t xml:space="preserve">istovremeno </w:t>
      </w:r>
      <w:r>
        <w:t xml:space="preserve">jačanje procesa </w:t>
      </w:r>
      <w:proofErr w:type="spellStart"/>
      <w:r>
        <w:t>deinstitucionalizacije</w:t>
      </w:r>
      <w:proofErr w:type="spellEnd"/>
      <w:r>
        <w:t xml:space="preserve"> </w:t>
      </w:r>
      <w:r w:rsidR="00C533BE">
        <w:t>za ostale korisnike sustava socijalne skrbi</w:t>
      </w:r>
      <w:r>
        <w:t xml:space="preserve"> će se reflektirati i u trogodišnjem Socijalnom planu OBŽ koji će biti izrađen tijekom 2024. godine.</w:t>
      </w:r>
    </w:p>
    <w:p w14:paraId="704632BD" w14:textId="15CA2D80" w:rsidR="00B03123" w:rsidRPr="00B7471D" w:rsidRDefault="00B03123" w:rsidP="00B03123">
      <w:pPr>
        <w:pStyle w:val="Default"/>
        <w:spacing w:after="240" w:line="360" w:lineRule="auto"/>
        <w:jc w:val="both"/>
        <w:rPr>
          <w:color w:val="FF0000"/>
        </w:rPr>
      </w:pPr>
      <w:r>
        <w:t>U području zdravstvene skrbi,</w:t>
      </w:r>
      <w:r w:rsidR="00D26078">
        <w:t xml:space="preserve"> </w:t>
      </w:r>
      <w:r w:rsidR="004648D0">
        <w:t>tijekom 2023. godine izgrađen je i otvoren</w:t>
      </w:r>
      <w:r w:rsidR="00D26078">
        <w:t xml:space="preserve"> Objedinjen</w:t>
      </w:r>
      <w:r w:rsidR="004648D0">
        <w:t>i</w:t>
      </w:r>
      <w:r w:rsidR="00D26078">
        <w:t xml:space="preserve"> hitn</w:t>
      </w:r>
      <w:r w:rsidR="004648D0">
        <w:t>i</w:t>
      </w:r>
      <w:r w:rsidR="00D26078">
        <w:t xml:space="preserve"> bolničk</w:t>
      </w:r>
      <w:r w:rsidR="004648D0">
        <w:t>i</w:t>
      </w:r>
      <w:r w:rsidR="00D26078">
        <w:t xml:space="preserve"> prijem, </w:t>
      </w:r>
      <w:r w:rsidR="004648D0">
        <w:t xml:space="preserve">planira se gradnja </w:t>
      </w:r>
      <w:r w:rsidR="00D26078">
        <w:t>dnevnih bolnica i dnevnih kirurgija KBC Osijek,</w:t>
      </w:r>
      <w:r w:rsidR="00C533BE">
        <w:t xml:space="preserve"> zatim gradnja Centra za kontrolu komaraca,</w:t>
      </w:r>
      <w:r w:rsidR="00D26078">
        <w:t xml:space="preserve"> </w:t>
      </w:r>
      <w:r w:rsidR="004648D0">
        <w:t xml:space="preserve">a </w:t>
      </w:r>
      <w:r w:rsidR="004648D0" w:rsidRPr="00B03123">
        <w:t>dovršena je</w:t>
      </w:r>
      <w:r w:rsidR="00D26078" w:rsidRPr="00B03123">
        <w:t xml:space="preserve"> i izrada projektno-tehničke dokumentacije za izgradnju novog Kliničko bolničkog centra Osijek krajem 2023. godine</w:t>
      </w:r>
      <w:r w:rsidR="00D26078">
        <w:t xml:space="preserve">. </w:t>
      </w:r>
      <w:r w:rsidRPr="00C533BE">
        <w:rPr>
          <w:color w:val="auto"/>
        </w:rPr>
        <w:t xml:space="preserve">OBŽ </w:t>
      </w:r>
      <w:r w:rsidRPr="00B7471D">
        <w:rPr>
          <w:color w:val="auto"/>
        </w:rPr>
        <w:t xml:space="preserve">je u završnoj fazi rješavanja imovinskopravnih odnosa s </w:t>
      </w:r>
      <w:r w:rsidRPr="00B7471D">
        <w:t>Ministarstvom prostornog uređenja, graditeljstva i državne imovine i to</w:t>
      </w:r>
      <w:r w:rsidRPr="00B7471D">
        <w:rPr>
          <w:color w:val="auto"/>
        </w:rPr>
        <w:t xml:space="preserve"> na zemljištu na kojem se planira gradnja nove zgrade Zavoda za hitnu medicinu </w:t>
      </w:r>
      <w:r w:rsidR="00C533BE" w:rsidRPr="00B7471D">
        <w:rPr>
          <w:color w:val="auto"/>
        </w:rPr>
        <w:t>OBŽ, uz novi KBC Osijek</w:t>
      </w:r>
      <w:r w:rsidRPr="00B7471D">
        <w:rPr>
          <w:color w:val="auto"/>
        </w:rPr>
        <w:t xml:space="preserve">. </w:t>
      </w:r>
    </w:p>
    <w:p w14:paraId="768A6C13" w14:textId="60C32D70" w:rsidR="00CC0BF1" w:rsidRPr="00650F05" w:rsidRDefault="00CC0BF1" w:rsidP="00945E62">
      <w:pPr>
        <w:pStyle w:val="Default"/>
        <w:spacing w:after="240" w:line="360" w:lineRule="auto"/>
        <w:jc w:val="both"/>
      </w:pPr>
      <w:r>
        <w:lastRenderedPageBreak/>
        <w:t>Ukupno je</w:t>
      </w:r>
      <w:r w:rsidR="00177690">
        <w:t xml:space="preserve"> iz Proračuna OBŽ u 202</w:t>
      </w:r>
      <w:r w:rsidR="004648D0">
        <w:t>3</w:t>
      </w:r>
      <w:r w:rsidR="00177690">
        <w:t>. godini</w:t>
      </w:r>
      <w:r>
        <w:t xml:space="preserve"> na realizaciju posebnog cilja </w:t>
      </w:r>
      <w:r w:rsidR="00A43FE4">
        <w:t>2</w:t>
      </w:r>
      <w:r>
        <w:t xml:space="preserve"> utrošeno </w:t>
      </w:r>
      <w:r w:rsidR="00C533BE" w:rsidRPr="00C533BE">
        <w:rPr>
          <w:color w:val="auto"/>
        </w:rPr>
        <w:t>61.252.646,40</w:t>
      </w:r>
      <w:r w:rsidR="00C533BE" w:rsidRPr="00C533BE">
        <w:t xml:space="preserve"> eura (</w:t>
      </w:r>
      <w:r w:rsidR="00C533BE" w:rsidRPr="00C533BE">
        <w:rPr>
          <w:color w:val="auto"/>
        </w:rPr>
        <w:t>461.508.064,30</w:t>
      </w:r>
      <w:r w:rsidR="00C533BE" w:rsidRPr="00C533BE">
        <w:t xml:space="preserve"> </w:t>
      </w:r>
      <w:r>
        <w:t>kuna</w:t>
      </w:r>
      <w:r w:rsidR="00AD1A75">
        <w:t>)</w:t>
      </w:r>
      <w:r>
        <w:t xml:space="preserve">. </w:t>
      </w:r>
      <w:r w:rsidR="00787141" w:rsidRPr="00267FFA">
        <w:rPr>
          <w:i/>
        </w:rPr>
        <w:t>Napomena:</w:t>
      </w:r>
      <w:r w:rsidR="00787141">
        <w:t xml:space="preserve"> u ukupni financijski iznos nisu uključena decentralizirana sredstva za zdravstvene ustanove i ustanove socijalne skrbi, odnosno nešto više od </w:t>
      </w:r>
      <w:r w:rsidR="00AD1A75">
        <w:t>5,3 milijuna eura (</w:t>
      </w:r>
      <w:r w:rsidR="00787141">
        <w:t>4</w:t>
      </w:r>
      <w:r w:rsidR="00C533BE">
        <w:t>0</w:t>
      </w:r>
      <w:r w:rsidR="00787141">
        <w:t xml:space="preserve"> milijuna kuna).</w:t>
      </w:r>
    </w:p>
    <w:p w14:paraId="37610393" w14:textId="77777777" w:rsidR="00945E62" w:rsidRPr="001049FC" w:rsidRDefault="00945E62" w:rsidP="001E677E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10" w:name="_Toc128473027"/>
      <w:bookmarkStart w:id="11" w:name="_Hlk159410986"/>
      <w:bookmarkEnd w:id="6"/>
      <w:bookmarkEnd w:id="8"/>
      <w:r w:rsidRPr="001049FC">
        <w:rPr>
          <w:b/>
          <w:bCs/>
        </w:rPr>
        <w:t xml:space="preserve">3. </w:t>
      </w:r>
      <w:r w:rsidR="00196073" w:rsidRPr="001049FC">
        <w:rPr>
          <w:b/>
          <w:bCs/>
        </w:rPr>
        <w:t>Razvoj i unaprjeđenje odgojno-obrazovne i znanstveno-istraživačke djelatnosti u funkciji gospodarstva i tržišta rada</w:t>
      </w:r>
      <w:bookmarkEnd w:id="10"/>
      <w:r w:rsidRPr="001049FC">
        <w:rPr>
          <w:b/>
          <w:bCs/>
        </w:rPr>
        <w:t xml:space="preserve"> </w:t>
      </w:r>
    </w:p>
    <w:p w14:paraId="1FD2DCD2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12" w:name="_Toc128473028"/>
      <w:r>
        <w:t>3</w:t>
      </w:r>
      <w:r w:rsidRPr="00650F05">
        <w:t>.</w:t>
      </w:r>
      <w:r>
        <w:t>1</w:t>
      </w:r>
      <w:r w:rsidRPr="00650F05">
        <w:t>. Ostvarene vrijednosti pokazatelja ishoda</w:t>
      </w:r>
      <w:bookmarkEnd w:id="1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79"/>
      </w:tblGrid>
      <w:tr w:rsidR="00945E62" w14:paraId="2630108A" w14:textId="77777777" w:rsidTr="00D64722">
        <w:tc>
          <w:tcPr>
            <w:tcW w:w="3539" w:type="dxa"/>
            <w:vAlign w:val="center"/>
          </w:tcPr>
          <w:p w14:paraId="776E2387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843" w:type="dxa"/>
            <w:vAlign w:val="center"/>
          </w:tcPr>
          <w:p w14:paraId="5755D792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701" w:type="dxa"/>
            <w:vAlign w:val="center"/>
          </w:tcPr>
          <w:p w14:paraId="133BDAAD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1979" w:type="dxa"/>
            <w:vAlign w:val="center"/>
          </w:tcPr>
          <w:p w14:paraId="7A40E221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28E53A50" w14:textId="77777777" w:rsidTr="00D64722">
        <w:tc>
          <w:tcPr>
            <w:tcW w:w="3539" w:type="dxa"/>
            <w:vAlign w:val="center"/>
          </w:tcPr>
          <w:p w14:paraId="1CF73E0D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Postotak stanovništva u dobi od 25 do 64 godine koji je završio visoko obrazovanje</w:t>
            </w:r>
          </w:p>
        </w:tc>
        <w:tc>
          <w:tcPr>
            <w:tcW w:w="1843" w:type="dxa"/>
            <w:vAlign w:val="center"/>
          </w:tcPr>
          <w:p w14:paraId="541429E0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 xml:space="preserve">16,75% (2011.) </w:t>
            </w:r>
          </w:p>
        </w:tc>
        <w:tc>
          <w:tcPr>
            <w:tcW w:w="1701" w:type="dxa"/>
            <w:vAlign w:val="center"/>
          </w:tcPr>
          <w:p w14:paraId="24975636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22%</w:t>
            </w:r>
          </w:p>
        </w:tc>
        <w:tc>
          <w:tcPr>
            <w:tcW w:w="1979" w:type="dxa"/>
            <w:vAlign w:val="center"/>
          </w:tcPr>
          <w:p w14:paraId="5CD3154E" w14:textId="15D1EBF9" w:rsidR="00196073" w:rsidRDefault="00D64722" w:rsidP="000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4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4D22">
              <w:rPr>
                <w:rFonts w:ascii="Times New Roman" w:hAnsi="Times New Roman" w:cs="Times New Roman"/>
                <w:sz w:val="24"/>
                <w:szCs w:val="24"/>
              </w:rPr>
              <w:t>%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22"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</w:p>
        </w:tc>
      </w:tr>
      <w:tr w:rsidR="00196073" w14:paraId="59C72ECE" w14:textId="77777777" w:rsidTr="00D64722">
        <w:tc>
          <w:tcPr>
            <w:tcW w:w="3539" w:type="dxa"/>
            <w:vAlign w:val="center"/>
          </w:tcPr>
          <w:p w14:paraId="7CFAD4E4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Regionalna stopa nezaposlenosti</w:t>
            </w:r>
          </w:p>
        </w:tc>
        <w:tc>
          <w:tcPr>
            <w:tcW w:w="1843" w:type="dxa"/>
            <w:vAlign w:val="center"/>
          </w:tcPr>
          <w:p w14:paraId="3DC63A1F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11,39% (2021.)</w:t>
            </w:r>
          </w:p>
        </w:tc>
        <w:tc>
          <w:tcPr>
            <w:tcW w:w="1701" w:type="dxa"/>
            <w:vAlign w:val="center"/>
          </w:tcPr>
          <w:p w14:paraId="78B08482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&lt; 8%</w:t>
            </w:r>
          </w:p>
        </w:tc>
        <w:tc>
          <w:tcPr>
            <w:tcW w:w="1979" w:type="dxa"/>
            <w:vAlign w:val="center"/>
          </w:tcPr>
          <w:p w14:paraId="26D879D9" w14:textId="5FD99D64" w:rsidR="00196073" w:rsidRDefault="00D64722" w:rsidP="0024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D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A296B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9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6073" w14:paraId="42B62546" w14:textId="77777777" w:rsidTr="00D64722">
        <w:tc>
          <w:tcPr>
            <w:tcW w:w="3539" w:type="dxa"/>
            <w:vAlign w:val="center"/>
          </w:tcPr>
          <w:p w14:paraId="495B7EC9" w14:textId="77777777" w:rsidR="00196073" w:rsidRPr="00196073" w:rsidRDefault="00196073" w:rsidP="00196073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Udio učenika korisnika centara kompetencije, u ukupnom broju učenika</w:t>
            </w:r>
          </w:p>
        </w:tc>
        <w:tc>
          <w:tcPr>
            <w:tcW w:w="1843" w:type="dxa"/>
            <w:vAlign w:val="center"/>
          </w:tcPr>
          <w:p w14:paraId="561BB8B7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0% (školska godina 2020./2021.)</w:t>
            </w:r>
          </w:p>
        </w:tc>
        <w:tc>
          <w:tcPr>
            <w:tcW w:w="1701" w:type="dxa"/>
            <w:vAlign w:val="center"/>
          </w:tcPr>
          <w:p w14:paraId="008A1A34" w14:textId="77777777" w:rsidR="00196073" w:rsidRPr="00196073" w:rsidRDefault="00196073" w:rsidP="00196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5%</w:t>
            </w:r>
          </w:p>
        </w:tc>
        <w:tc>
          <w:tcPr>
            <w:tcW w:w="1979" w:type="dxa"/>
            <w:vAlign w:val="center"/>
          </w:tcPr>
          <w:p w14:paraId="4D1BE893" w14:textId="22D7A4CB" w:rsidR="00196073" w:rsidRDefault="00D64722" w:rsidP="0005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4D22" w:rsidRPr="00186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4D22" w:rsidRPr="00186F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A296B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9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64722" w14:paraId="256288D2" w14:textId="77777777" w:rsidTr="00D64722">
        <w:tc>
          <w:tcPr>
            <w:tcW w:w="3539" w:type="dxa"/>
            <w:vAlign w:val="center"/>
          </w:tcPr>
          <w:p w14:paraId="60C0B383" w14:textId="385CC29C" w:rsidR="00D64722" w:rsidRPr="00196073" w:rsidRDefault="00D64722" w:rsidP="00D64722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 xml:space="preserve">Bruto investicije u materijalnu i nematerijalnu imovinu u području </w:t>
            </w:r>
            <w:r w:rsidR="00C04A02">
              <w:rPr>
                <w:rFonts w:ascii="Times New Roman" w:hAnsi="Times New Roman" w:cs="Times New Roman"/>
                <w:sz w:val="24"/>
              </w:rPr>
              <w:t>"</w:t>
            </w:r>
            <w:r w:rsidRPr="00196073">
              <w:rPr>
                <w:rFonts w:ascii="Times New Roman" w:hAnsi="Times New Roman" w:cs="Times New Roman"/>
                <w:sz w:val="24"/>
              </w:rPr>
              <w:t>Obrazovanje</w:t>
            </w:r>
            <w:r w:rsidR="00C04A02">
              <w:rPr>
                <w:rFonts w:ascii="Times New Roman" w:hAnsi="Times New Roman" w:cs="Times New Roman"/>
                <w:sz w:val="24"/>
              </w:rPr>
              <w:t>"</w:t>
            </w:r>
            <w:r w:rsidRPr="00196073">
              <w:rPr>
                <w:rFonts w:ascii="Times New Roman" w:hAnsi="Times New Roman" w:cs="Times New Roman"/>
                <w:sz w:val="24"/>
              </w:rPr>
              <w:t xml:space="preserve"> (prema NKD-u 2007.)</w:t>
            </w:r>
          </w:p>
        </w:tc>
        <w:tc>
          <w:tcPr>
            <w:tcW w:w="1843" w:type="dxa"/>
            <w:vAlign w:val="center"/>
          </w:tcPr>
          <w:p w14:paraId="5BB3948F" w14:textId="57A19795" w:rsidR="00D64722" w:rsidRPr="00D64722" w:rsidRDefault="00D64722" w:rsidP="00D6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722">
              <w:rPr>
                <w:rFonts w:ascii="Times New Roman" w:hAnsi="Times New Roman" w:cs="Times New Roman"/>
                <w:sz w:val="23"/>
                <w:szCs w:val="23"/>
              </w:rPr>
              <w:t>994.950 HRK (132.052,56 EUR) (2020.)</w:t>
            </w:r>
          </w:p>
        </w:tc>
        <w:tc>
          <w:tcPr>
            <w:tcW w:w="1701" w:type="dxa"/>
            <w:vAlign w:val="center"/>
          </w:tcPr>
          <w:p w14:paraId="13572857" w14:textId="19FA8D6E" w:rsidR="00D64722" w:rsidRPr="00D64722" w:rsidRDefault="00D64722" w:rsidP="00D6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722">
              <w:rPr>
                <w:rFonts w:ascii="Times New Roman" w:hAnsi="Times New Roman" w:cs="Times New Roman"/>
                <w:sz w:val="23"/>
                <w:szCs w:val="23"/>
              </w:rPr>
              <w:t>1.200.000 HRK</w:t>
            </w:r>
            <w:r w:rsidRPr="00D64722">
              <w:rPr>
                <w:rFonts w:ascii="Times New Roman" w:hAnsi="Times New Roman" w:cs="Times New Roman"/>
                <w:sz w:val="23"/>
                <w:szCs w:val="23"/>
              </w:rPr>
              <w:br/>
              <w:t>(159.267,37 EUR)</w:t>
            </w:r>
          </w:p>
        </w:tc>
        <w:tc>
          <w:tcPr>
            <w:tcW w:w="1979" w:type="dxa"/>
            <w:vAlign w:val="center"/>
          </w:tcPr>
          <w:p w14:paraId="136B4FEE" w14:textId="77777777" w:rsidR="00D64722" w:rsidRDefault="00D64722" w:rsidP="00D6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4722">
              <w:rPr>
                <w:rFonts w:ascii="Times New Roman" w:hAnsi="Times New Roman" w:cs="Times New Roman"/>
                <w:sz w:val="23"/>
                <w:szCs w:val="23"/>
              </w:rPr>
              <w:t>1.941.640 HRK</w:t>
            </w:r>
            <w:r w:rsidRPr="00D64722">
              <w:rPr>
                <w:rFonts w:ascii="Times New Roman" w:hAnsi="Times New Roman" w:cs="Times New Roman"/>
                <w:sz w:val="23"/>
                <w:szCs w:val="23"/>
              </w:rPr>
              <w:br/>
              <w:t>(257.700 EUR)</w:t>
            </w:r>
          </w:p>
          <w:p w14:paraId="11B344C9" w14:textId="43D1FF52" w:rsidR="00D64722" w:rsidRPr="00D64722" w:rsidRDefault="00D64722" w:rsidP="00D647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(2022.)</w:t>
            </w:r>
          </w:p>
        </w:tc>
      </w:tr>
    </w:tbl>
    <w:p w14:paraId="5027A3CC" w14:textId="1E5524E0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3BC34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13" w:name="_Toc128473029"/>
      <w:r>
        <w:t>3</w:t>
      </w:r>
      <w:r w:rsidRPr="00650F05">
        <w:t xml:space="preserve">.2. Opis napretka u provedbi posebnog cilja </w:t>
      </w:r>
      <w:r w:rsidR="00196073">
        <w:t>3</w:t>
      </w:r>
      <w:bookmarkEnd w:id="13"/>
      <w:r w:rsidRPr="00650F05">
        <w:t xml:space="preserve"> </w:t>
      </w:r>
    </w:p>
    <w:p w14:paraId="3F17CA5E" w14:textId="01F3BED3" w:rsidR="00FA296B" w:rsidRDefault="00D64722" w:rsidP="00945E62">
      <w:pPr>
        <w:pStyle w:val="Default"/>
        <w:spacing w:after="240" w:line="360" w:lineRule="auto"/>
        <w:jc w:val="both"/>
      </w:pPr>
      <w:r>
        <w:t>Temeljem novog podatka o postotku visokoobrazovanog stanovništva u dobi od 25-64 godine, a prema Popisu stanovništva iz 2021. godine, došlo je do smanjenja udjela visokoobrazovanih osoba u navedenoj dobnoj kohorti u posljednjem desetljeću</w:t>
      </w:r>
      <w:r w:rsidR="0037198D">
        <w:t xml:space="preserve"> (sa 16,75% na 15,1%)</w:t>
      </w:r>
      <w:r>
        <w:t>. Najveći dio uzroka može se pripisati značajnom iseljavanju visokoobrazovane radne snage s područja OBŽ, a manjim dijelom izlaskom dijela visokoobrazovanih s tržišta rada (umirovljenje). P</w:t>
      </w:r>
      <w:r w:rsidR="00FA296B">
        <w:t xml:space="preserve">okazatelj </w:t>
      </w:r>
      <w:r>
        <w:t xml:space="preserve">regionalne stope nezaposlenosti </w:t>
      </w:r>
      <w:r w:rsidR="00FA296B">
        <w:t>odnos</w:t>
      </w:r>
      <w:r>
        <w:t>i se</w:t>
      </w:r>
      <w:r w:rsidR="00FA296B">
        <w:t xml:space="preserve"> na širu regiju (NUTS II regij</w:t>
      </w:r>
      <w:r>
        <w:t>a</w:t>
      </w:r>
      <w:r w:rsidR="00FA296B">
        <w:t xml:space="preserve"> Panonska Hrvatska). </w:t>
      </w:r>
      <w:r>
        <w:t>V</w:t>
      </w:r>
      <w:r w:rsidR="00FA296B">
        <w:t xml:space="preserve">idljivo je da se stopa nezaposlenosti </w:t>
      </w:r>
      <w:r>
        <w:t>smanjena</w:t>
      </w:r>
      <w:r w:rsidR="00FA296B">
        <w:t xml:space="preserve"> </w:t>
      </w:r>
      <w:r>
        <w:t>u odnosu na</w:t>
      </w:r>
      <w:r w:rsidR="00FA296B">
        <w:t xml:space="preserve"> 2021. godin</w:t>
      </w:r>
      <w:r>
        <w:t>u sukladno trendovima na razini cijele države</w:t>
      </w:r>
      <w:r w:rsidR="00FA296B">
        <w:t xml:space="preserve">, pri čemu valja napomenuti da nužno dolazi do sezonskih razlika u stopi nezaposlenosti pa ona u zimskom razdoblju raste, a u ljetnom opada. </w:t>
      </w:r>
    </w:p>
    <w:p w14:paraId="1D9CB33C" w14:textId="77777777" w:rsidR="00C04A02" w:rsidRDefault="00C04A02" w:rsidP="00945E62">
      <w:pPr>
        <w:pStyle w:val="Default"/>
        <w:spacing w:after="240" w:line="360" w:lineRule="auto"/>
        <w:jc w:val="both"/>
      </w:pPr>
    </w:p>
    <w:p w14:paraId="0EBB49D3" w14:textId="7B24A966" w:rsidR="00FA296B" w:rsidRDefault="00485974" w:rsidP="00945E62">
      <w:pPr>
        <w:pStyle w:val="Default"/>
        <w:spacing w:after="240" w:line="360" w:lineRule="auto"/>
        <w:jc w:val="both"/>
      </w:pPr>
      <w:r>
        <w:lastRenderedPageBreak/>
        <w:t xml:space="preserve">Kada je riječ o ostala dva pokazatelja, </w:t>
      </w:r>
      <w:r w:rsidR="0037198D">
        <w:t>iz podataka je vidljivo</w:t>
      </w:r>
      <w:r>
        <w:t xml:space="preserve"> da </w:t>
      </w:r>
      <w:r w:rsidR="00D35FDE">
        <w:t>gotovo šestina</w:t>
      </w:r>
      <w:r>
        <w:t xml:space="preserve"> učenika s područja OBŽ koristi prednosti i sudjeluje u radu centara kompetencije, s obzirom na brojnost učenika u dvije srednje škole koje su takve centre razvile (Elektrotehnička i prometna škola Osijek i Ugostiteljsko-turistička škola Osijek). S druge strane, b</w:t>
      </w:r>
      <w:r w:rsidRPr="00196073">
        <w:t xml:space="preserve">ruto investicije u materijalnu i nematerijalnu imovinu u području </w:t>
      </w:r>
      <w:r w:rsidR="00951868">
        <w:t>"</w:t>
      </w:r>
      <w:r w:rsidRPr="00196073">
        <w:t>Obrazovanje</w:t>
      </w:r>
      <w:r w:rsidR="00951868">
        <w:t>"</w:t>
      </w:r>
      <w:r>
        <w:t xml:space="preserve"> </w:t>
      </w:r>
      <w:r w:rsidR="0004396A">
        <w:t>značajno</w:t>
      </w:r>
      <w:r>
        <w:t xml:space="preserve"> su </w:t>
      </w:r>
      <w:r w:rsidR="0004396A">
        <w:t>povećane</w:t>
      </w:r>
      <w:r>
        <w:t xml:space="preserve"> u odnosu na početnu vrijednost, što </w:t>
      </w:r>
      <w:r w:rsidR="0004396A">
        <w:t xml:space="preserve">je uzrokovano velikim investicijama u navedenom sektoru, osobito izgradnjom školskih </w:t>
      </w:r>
      <w:r w:rsidR="0037198D">
        <w:t>objekat</w:t>
      </w:r>
      <w:r w:rsidR="0004396A">
        <w:t>a, poput I. gimnazije u Osijeku</w:t>
      </w:r>
      <w:r>
        <w:t>.</w:t>
      </w:r>
    </w:p>
    <w:p w14:paraId="420BD6AE" w14:textId="001F9BF3" w:rsidR="00485974" w:rsidRDefault="00485974" w:rsidP="00945E62">
      <w:pPr>
        <w:pStyle w:val="Default"/>
        <w:spacing w:after="240" w:line="360" w:lineRule="auto"/>
        <w:jc w:val="both"/>
      </w:pPr>
      <w:r>
        <w:t xml:space="preserve">Kao županija u kojoj se nalazi jedno od najvećih </w:t>
      </w:r>
      <w:r w:rsidRPr="00372E68">
        <w:t>sveučilišnih središta u Hrvatskoj</w:t>
      </w:r>
      <w:r w:rsidR="00002A17" w:rsidRPr="00372E68">
        <w:t xml:space="preserve">, rizik od </w:t>
      </w:r>
      <w:r w:rsidR="0004396A" w:rsidRPr="00372E68">
        <w:t xml:space="preserve">daljnjeg </w:t>
      </w:r>
      <w:r w:rsidR="00002A17" w:rsidRPr="00372E68">
        <w:t>smanjenja broja visokoobrazovanih osoba u ukupnom stanovništvu nije velik</w:t>
      </w:r>
      <w:r w:rsidR="0004396A" w:rsidRPr="00372E68">
        <w:t xml:space="preserve">. </w:t>
      </w:r>
      <w:r w:rsidR="00002A17" w:rsidRPr="00372E68">
        <w:t xml:space="preserve">Sveučilište J. J. Strossmayera u Osijeku radi na unaprjeđenju postojećih i otvaranju novih studijskih programa u skladu s potrebama na tržištu. </w:t>
      </w:r>
      <w:r w:rsidR="00CC0BF1" w:rsidRPr="00372E68">
        <w:t xml:space="preserve">U skladu s time, u tijeku je strateški projekt </w:t>
      </w:r>
      <w:r w:rsidR="00AC0827" w:rsidRPr="00372E68">
        <w:t xml:space="preserve">izrade projektno-tehničke dokumentacije </w:t>
      </w:r>
      <w:r w:rsidR="00CC0BF1" w:rsidRPr="00372E68">
        <w:t>Znanstveno-istraživačkog centra elektrotehnike i računarstva u okviru FERIT-a, zatim priprema projektne dokumentacije za nastavak izgradnje i opremanje Sveučilište knjižnice i multimedijskog centra Osijek (SKIMCO), dok je</w:t>
      </w:r>
      <w:r w:rsidR="00372E68" w:rsidRPr="00372E68">
        <w:t xml:space="preserve"> projekt izrade projektno-tehničke dokumentacije</w:t>
      </w:r>
      <w:r w:rsidR="00CC0BF1" w:rsidRPr="00372E68">
        <w:t xml:space="preserve"> Znanstveno-istraživačkog centra za vinovu lozu i vino </w:t>
      </w:r>
      <w:proofErr w:type="spellStart"/>
      <w:r w:rsidR="00CC0BF1" w:rsidRPr="00372E68">
        <w:t>Mandićevac</w:t>
      </w:r>
      <w:proofErr w:type="spellEnd"/>
      <w:r w:rsidR="00CC0BF1" w:rsidRPr="00372E68">
        <w:t xml:space="preserve"> </w:t>
      </w:r>
      <w:r w:rsidR="00372E68" w:rsidRPr="00372E68">
        <w:t xml:space="preserve">završen tijekom 2023. godine, a njegova izgradnja </w:t>
      </w:r>
      <w:r w:rsidR="00CC0BF1" w:rsidRPr="00372E68">
        <w:t xml:space="preserve">planirana </w:t>
      </w:r>
      <w:r w:rsidR="00372E68" w:rsidRPr="00372E68">
        <w:t xml:space="preserve">je </w:t>
      </w:r>
      <w:r w:rsidR="00CC0BF1" w:rsidRPr="00372E68">
        <w:t xml:space="preserve">Dodatkom 2. Razvojnog sporazuma. </w:t>
      </w:r>
      <w:r w:rsidR="00002A17" w:rsidRPr="00372E68">
        <w:t>U srednjoškolsko,</w:t>
      </w:r>
      <w:r w:rsidR="00002A17">
        <w:t xml:space="preserve"> a osobito strukovno obrazovanje se također značajno ulaže, čemu svjedoč</w:t>
      </w:r>
      <w:r w:rsidR="0004396A">
        <w:t>e</w:t>
      </w:r>
      <w:r w:rsidR="00002A17">
        <w:t xml:space="preserve"> </w:t>
      </w:r>
      <w:r w:rsidR="00372E68">
        <w:t xml:space="preserve">izgrađena </w:t>
      </w:r>
      <w:r w:rsidR="00002A17">
        <w:t>dva</w:t>
      </w:r>
      <w:r w:rsidR="0004396A">
        <w:t xml:space="preserve"> regionalna</w:t>
      </w:r>
      <w:r w:rsidR="00002A17">
        <w:t xml:space="preserve"> centra kompetencije kao mjesta izvrsnosti kojima se unapr</w:t>
      </w:r>
      <w:r w:rsidR="0037198D">
        <w:t>jeđuje</w:t>
      </w:r>
      <w:r w:rsidR="00002A17">
        <w:t xml:space="preserve"> kvaliteta obrazovanja jačanjem kompetencija nastavnika i modernizacijom obrazovnih programa.</w:t>
      </w:r>
      <w:r w:rsidR="002A3AF9">
        <w:t xml:space="preserve"> </w:t>
      </w:r>
      <w:r w:rsidR="00002A17" w:rsidRPr="0004396A">
        <w:t xml:space="preserve">Također valja spomenuti da </w:t>
      </w:r>
      <w:r w:rsidR="00620D7D">
        <w:t>je u</w:t>
      </w:r>
      <w:r w:rsidR="0004396A" w:rsidRPr="0004396A">
        <w:t xml:space="preserve"> </w:t>
      </w:r>
      <w:r w:rsidR="00002A17" w:rsidRPr="0004396A">
        <w:t>202</w:t>
      </w:r>
      <w:r w:rsidR="0004396A" w:rsidRPr="0004396A">
        <w:t>3</w:t>
      </w:r>
      <w:r w:rsidR="00002A17" w:rsidRPr="0004396A">
        <w:t>. godin</w:t>
      </w:r>
      <w:r w:rsidR="00951868">
        <w:t>i</w:t>
      </w:r>
      <w:r w:rsidR="00002A17" w:rsidRPr="0004396A">
        <w:t xml:space="preserve"> </w:t>
      </w:r>
      <w:r w:rsidR="00620D7D">
        <w:t>nastavljena</w:t>
      </w:r>
      <w:r w:rsidR="00CC0BF1" w:rsidRPr="0004396A">
        <w:t xml:space="preserve"> </w:t>
      </w:r>
      <w:r w:rsidR="00002A17" w:rsidRPr="0004396A">
        <w:t>izgradnj</w:t>
      </w:r>
      <w:r w:rsidR="00B7471D">
        <w:t>a</w:t>
      </w:r>
      <w:r w:rsidR="00002A17" w:rsidRPr="0004396A">
        <w:t xml:space="preserve"> nove zgrade I. gimnazije</w:t>
      </w:r>
      <w:r w:rsidR="008D6CF3">
        <w:t xml:space="preserve"> koja će završiti krajem 2024. godine</w:t>
      </w:r>
      <w:r w:rsidR="006702E0" w:rsidRPr="0004396A">
        <w:t xml:space="preserve">, </w:t>
      </w:r>
      <w:r w:rsidR="006702E0" w:rsidRPr="00372E68">
        <w:t>ukupne</w:t>
      </w:r>
      <w:r w:rsidR="00AC0827" w:rsidRPr="00372E68">
        <w:t xml:space="preserve"> vrijednosti </w:t>
      </w:r>
      <w:r w:rsidR="00372E68" w:rsidRPr="00372E68">
        <w:t>više od 15 milijuna eura</w:t>
      </w:r>
      <w:r w:rsidR="008D6CF3">
        <w:t>, č</w:t>
      </w:r>
      <w:r w:rsidR="006702E0" w:rsidRPr="00372E68">
        <w:t>ime će OBŽ</w:t>
      </w:r>
      <w:r w:rsidR="00CC0BF1" w:rsidRPr="00372E68">
        <w:t xml:space="preserve"> osigurati adekvatan prostor za kvalitetan rad i oprem</w:t>
      </w:r>
      <w:r w:rsidR="0004396A" w:rsidRPr="00372E68">
        <w:t xml:space="preserve">u </w:t>
      </w:r>
      <w:r w:rsidR="00CC0BF1" w:rsidRPr="00372E68">
        <w:t>potrebn</w:t>
      </w:r>
      <w:r w:rsidR="0004396A" w:rsidRPr="00372E68">
        <w:t>u</w:t>
      </w:r>
      <w:r w:rsidR="00CC0BF1" w:rsidRPr="00372E68">
        <w:t xml:space="preserve"> za nastavni proces.</w:t>
      </w:r>
      <w:r w:rsidR="00CC0BF1">
        <w:t xml:space="preserve"> </w:t>
      </w:r>
      <w:bookmarkStart w:id="14" w:name="_Hlk159489847"/>
      <w:r w:rsidR="008900BE">
        <w:t xml:space="preserve">Također, </w:t>
      </w:r>
      <w:r w:rsidR="00CD2BCE">
        <w:t>radi razvoja potencijala</w:t>
      </w:r>
      <w:r w:rsidR="008900BE">
        <w:t xml:space="preserve"> daroviti</w:t>
      </w:r>
      <w:r w:rsidR="00CD2BCE">
        <w:t>h</w:t>
      </w:r>
      <w:r w:rsidR="008900BE">
        <w:t>, visokomotivirani</w:t>
      </w:r>
      <w:r w:rsidR="00CD2BCE">
        <w:t>h</w:t>
      </w:r>
      <w:r w:rsidR="008900BE">
        <w:t xml:space="preserve"> učeni</w:t>
      </w:r>
      <w:r w:rsidR="00CD2BCE">
        <w:t>ka</w:t>
      </w:r>
      <w:r w:rsidR="008900BE">
        <w:t xml:space="preserve">, OBŽ je </w:t>
      </w:r>
      <w:r w:rsidR="00CC71B6">
        <w:t>preuredi</w:t>
      </w:r>
      <w:r w:rsidR="008900BE">
        <w:t xml:space="preserve">la prostore OŠ J. Kozarac u Josipovcu </w:t>
      </w:r>
      <w:proofErr w:type="spellStart"/>
      <w:r w:rsidR="008900BE">
        <w:t>Punitovačkom</w:t>
      </w:r>
      <w:proofErr w:type="spellEnd"/>
      <w:r w:rsidR="008900BE">
        <w:t xml:space="preserve"> u suvremene STEM učionice, planetarij i zvjezdarnicu kroz projekt Regionalnog znanstvenog centra Panonske Hrvatske, ukupne vrijednosti 859.280 eura.</w:t>
      </w:r>
    </w:p>
    <w:bookmarkEnd w:id="14"/>
    <w:p w14:paraId="5B379F6F" w14:textId="73DE8229" w:rsidR="0042775F" w:rsidRDefault="0042775F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</w:t>
      </w:r>
      <w:r w:rsidR="00A43FE4">
        <w:t>3</w:t>
      </w:r>
      <w:r>
        <w:t xml:space="preserve"> utrošeno </w:t>
      </w:r>
      <w:r w:rsidR="00AB4928" w:rsidRPr="00AB4928">
        <w:t>122.561.039,39</w:t>
      </w:r>
      <w:r w:rsidR="00AB4928">
        <w:t xml:space="preserve"> eura</w:t>
      </w:r>
      <w:r w:rsidR="00AB4928" w:rsidRPr="00AB4928">
        <w:t xml:space="preserve"> (923.436.151,28</w:t>
      </w:r>
      <w:r w:rsidR="00AB4928">
        <w:t xml:space="preserve"> kuna</w:t>
      </w:r>
      <w:r w:rsidR="00AB4928" w:rsidRPr="00AB4928">
        <w:t>)</w:t>
      </w:r>
      <w:r>
        <w:t>.</w:t>
      </w:r>
      <w:r w:rsidR="00054106">
        <w:t xml:space="preserve"> </w:t>
      </w:r>
      <w:r w:rsidR="00993CA3">
        <w:t xml:space="preserve">Napominjemo kako </w:t>
      </w:r>
      <w:r w:rsidR="00054106">
        <w:t xml:space="preserve">u </w:t>
      </w:r>
      <w:r w:rsidR="00993CA3">
        <w:t>navedeni</w:t>
      </w:r>
      <w:r w:rsidR="00054106">
        <w:t xml:space="preserve"> financijski iznos nisu uključena decentralizirana sredstva za osnovno i srednje školstvo</w:t>
      </w:r>
      <w:r w:rsidR="00993CA3">
        <w:t xml:space="preserve"> koja iznose oko</w:t>
      </w:r>
      <w:r w:rsidR="00054106">
        <w:t xml:space="preserve"> </w:t>
      </w:r>
      <w:r w:rsidR="00AB4928">
        <w:t>10 milijuna eura</w:t>
      </w:r>
      <w:r w:rsidR="00054106">
        <w:t>.</w:t>
      </w:r>
    </w:p>
    <w:p w14:paraId="4248F601" w14:textId="77777777" w:rsidR="001049FC" w:rsidRDefault="001049F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Toc128473030"/>
      <w:bookmarkStart w:id="16" w:name="_Hlk159422744"/>
      <w:bookmarkEnd w:id="11"/>
      <w:r>
        <w:br w:type="page"/>
      </w:r>
    </w:p>
    <w:p w14:paraId="7FEC5770" w14:textId="3AB163A8" w:rsidR="00945E62" w:rsidRPr="001049FC" w:rsidRDefault="00945E62" w:rsidP="001E677E">
      <w:pPr>
        <w:pStyle w:val="Default"/>
        <w:spacing w:after="240" w:line="360" w:lineRule="auto"/>
        <w:jc w:val="both"/>
        <w:outlineLvl w:val="1"/>
        <w:rPr>
          <w:b/>
          <w:bCs/>
        </w:rPr>
      </w:pPr>
      <w:r w:rsidRPr="001049FC">
        <w:rPr>
          <w:b/>
          <w:bCs/>
        </w:rPr>
        <w:lastRenderedPageBreak/>
        <w:t xml:space="preserve">4. </w:t>
      </w:r>
      <w:r w:rsidR="00196073" w:rsidRPr="001049FC">
        <w:rPr>
          <w:b/>
          <w:bCs/>
        </w:rPr>
        <w:t>Jačanje zajednice i civilnog društva u funkciji poticanja aktivnog i kvalitetnog života građana</w:t>
      </w:r>
      <w:bookmarkEnd w:id="15"/>
      <w:r w:rsidRPr="001049FC">
        <w:rPr>
          <w:b/>
          <w:bCs/>
        </w:rPr>
        <w:t xml:space="preserve"> </w:t>
      </w:r>
    </w:p>
    <w:p w14:paraId="28E35608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17" w:name="_Toc128473031"/>
      <w:r>
        <w:t>4</w:t>
      </w:r>
      <w:r w:rsidRPr="00650F05">
        <w:t>.</w:t>
      </w:r>
      <w:r>
        <w:t>1</w:t>
      </w:r>
      <w:r w:rsidRPr="00650F05">
        <w:t>. Ostvarene vrijednosti pokazatelja ishoda</w:t>
      </w:r>
      <w:bookmarkEnd w:id="1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559"/>
        <w:gridCol w:w="2263"/>
      </w:tblGrid>
      <w:tr w:rsidR="00945E62" w14:paraId="398E3421" w14:textId="77777777" w:rsidTr="007860CF">
        <w:tc>
          <w:tcPr>
            <w:tcW w:w="3114" w:type="dxa"/>
            <w:vAlign w:val="center"/>
          </w:tcPr>
          <w:p w14:paraId="34682B93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126" w:type="dxa"/>
            <w:vAlign w:val="center"/>
          </w:tcPr>
          <w:p w14:paraId="1B5C88DC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59" w:type="dxa"/>
            <w:vAlign w:val="center"/>
          </w:tcPr>
          <w:p w14:paraId="47FB2D53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263" w:type="dxa"/>
            <w:vAlign w:val="center"/>
          </w:tcPr>
          <w:p w14:paraId="0A0694FC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38B4F62B" w14:textId="77777777" w:rsidTr="007860CF">
        <w:tc>
          <w:tcPr>
            <w:tcW w:w="3114" w:type="dxa"/>
            <w:vAlign w:val="center"/>
          </w:tcPr>
          <w:p w14:paraId="1F72B2C0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Broj udruga civilnog društva na 10.000 stanovnika</w:t>
            </w:r>
          </w:p>
        </w:tc>
        <w:tc>
          <w:tcPr>
            <w:tcW w:w="2126" w:type="dxa"/>
            <w:vAlign w:val="center"/>
          </w:tcPr>
          <w:p w14:paraId="0E4044A6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1,38 (2019.)</w:t>
            </w:r>
          </w:p>
        </w:tc>
        <w:tc>
          <w:tcPr>
            <w:tcW w:w="1559" w:type="dxa"/>
            <w:vAlign w:val="center"/>
          </w:tcPr>
          <w:p w14:paraId="52964010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1,5</w:t>
            </w:r>
          </w:p>
        </w:tc>
        <w:tc>
          <w:tcPr>
            <w:tcW w:w="2263" w:type="dxa"/>
            <w:vAlign w:val="center"/>
          </w:tcPr>
          <w:p w14:paraId="692482A5" w14:textId="185CFFFE" w:rsidR="00196073" w:rsidRDefault="00B56FF4" w:rsidP="006E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(202</w:t>
            </w:r>
            <w:r w:rsidR="00AB4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6073" w14:paraId="391F159B" w14:textId="77777777" w:rsidTr="007860CF">
        <w:tc>
          <w:tcPr>
            <w:tcW w:w="3114" w:type="dxa"/>
            <w:vAlign w:val="center"/>
          </w:tcPr>
          <w:p w14:paraId="11549DA0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Broj aktivnih udruga na području županije</w:t>
            </w:r>
          </w:p>
        </w:tc>
        <w:tc>
          <w:tcPr>
            <w:tcW w:w="2126" w:type="dxa"/>
            <w:vAlign w:val="center"/>
          </w:tcPr>
          <w:p w14:paraId="762FB9F8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3.820 (2021.)</w:t>
            </w:r>
          </w:p>
        </w:tc>
        <w:tc>
          <w:tcPr>
            <w:tcW w:w="1559" w:type="dxa"/>
            <w:vAlign w:val="center"/>
          </w:tcPr>
          <w:p w14:paraId="1FFE5DCD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4.100</w:t>
            </w:r>
          </w:p>
        </w:tc>
        <w:tc>
          <w:tcPr>
            <w:tcW w:w="2263" w:type="dxa"/>
            <w:vAlign w:val="center"/>
          </w:tcPr>
          <w:p w14:paraId="7C613AF0" w14:textId="53179B05" w:rsidR="00196073" w:rsidRDefault="00B56FF4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(202</w:t>
            </w:r>
            <w:r w:rsidR="00AB4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860CF" w14:paraId="52E032DA" w14:textId="77777777" w:rsidTr="007860CF">
        <w:tc>
          <w:tcPr>
            <w:tcW w:w="3114" w:type="dxa"/>
            <w:vAlign w:val="center"/>
          </w:tcPr>
          <w:p w14:paraId="788C9E11" w14:textId="77777777" w:rsidR="007860CF" w:rsidRPr="00196073" w:rsidRDefault="007860CF" w:rsidP="007860CF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Rashodi za kulturu JLP(R)S, po stanovniku</w:t>
            </w:r>
          </w:p>
        </w:tc>
        <w:tc>
          <w:tcPr>
            <w:tcW w:w="2126" w:type="dxa"/>
            <w:vAlign w:val="center"/>
          </w:tcPr>
          <w:p w14:paraId="4598EC4F" w14:textId="27A4460E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71,51 HRK (2020.)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(9,49 EUR)</w:t>
            </w:r>
          </w:p>
        </w:tc>
        <w:tc>
          <w:tcPr>
            <w:tcW w:w="1559" w:type="dxa"/>
            <w:vAlign w:val="center"/>
          </w:tcPr>
          <w:p w14:paraId="16AE6F8A" w14:textId="43BB54C0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&gt; 74 HRK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(9,82 EUR)</w:t>
            </w:r>
          </w:p>
        </w:tc>
        <w:tc>
          <w:tcPr>
            <w:tcW w:w="2263" w:type="dxa"/>
            <w:vAlign w:val="center"/>
          </w:tcPr>
          <w:p w14:paraId="3CF9B6A2" w14:textId="371A761B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102,39 HRK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(13,59 EUR)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(2003.)</w:t>
            </w:r>
          </w:p>
        </w:tc>
      </w:tr>
      <w:tr w:rsidR="007860CF" w14:paraId="1177198B" w14:textId="77777777" w:rsidTr="007860CF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E0BB267" w14:textId="77777777" w:rsidR="007860CF" w:rsidRPr="00196073" w:rsidRDefault="007860CF" w:rsidP="007860CF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Rashodi za sport JLP(R)S, po stanovniku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C81820" w14:textId="2A1074FB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17,69 HRK (2020.)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(2,35 EUR)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523D19" w14:textId="2F2F4E4C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&gt; 19,5 HRK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(2,59 EUR)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1FEA7C6" w14:textId="43F1383D" w:rsidR="007860CF" w:rsidRPr="007860CF" w:rsidRDefault="007860CF" w:rsidP="007860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860CF">
              <w:rPr>
                <w:rFonts w:ascii="Times New Roman" w:hAnsi="Times New Roman" w:cs="Times New Roman"/>
                <w:sz w:val="23"/>
                <w:szCs w:val="23"/>
              </w:rPr>
              <w:t>44,45 HRK</w:t>
            </w:r>
            <w:r w:rsidRPr="007860CF">
              <w:rPr>
                <w:rFonts w:ascii="Times New Roman" w:hAnsi="Times New Roman" w:cs="Times New Roman"/>
                <w:sz w:val="23"/>
                <w:szCs w:val="23"/>
              </w:rPr>
              <w:br/>
              <w:t>(5,90 EUR)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(2003.)</w:t>
            </w:r>
          </w:p>
        </w:tc>
      </w:tr>
    </w:tbl>
    <w:p w14:paraId="0C7271D2" w14:textId="77777777" w:rsidR="0037198D" w:rsidRDefault="0037198D" w:rsidP="0037198D">
      <w:pPr>
        <w:pStyle w:val="Default"/>
        <w:spacing w:after="240" w:line="360" w:lineRule="auto"/>
      </w:pPr>
      <w:bookmarkStart w:id="18" w:name="_Toc128473032"/>
    </w:p>
    <w:p w14:paraId="3E220E72" w14:textId="36739D9D" w:rsidR="00945E62" w:rsidRPr="00650F05" w:rsidRDefault="00945E62" w:rsidP="00945E62">
      <w:pPr>
        <w:pStyle w:val="Default"/>
        <w:spacing w:after="240" w:line="360" w:lineRule="auto"/>
        <w:outlineLvl w:val="2"/>
      </w:pPr>
      <w:r>
        <w:t>4</w:t>
      </w:r>
      <w:r w:rsidRPr="00650F05">
        <w:t xml:space="preserve">.2. Opis napretka u provedbi posebnog cilja </w:t>
      </w:r>
      <w:r w:rsidR="00196073">
        <w:t>4</w:t>
      </w:r>
      <w:bookmarkEnd w:id="18"/>
      <w:r w:rsidRPr="00650F05">
        <w:t xml:space="preserve"> </w:t>
      </w:r>
    </w:p>
    <w:p w14:paraId="3B90F897" w14:textId="2DECA329" w:rsidR="001E677E" w:rsidRDefault="003E5A82" w:rsidP="00945E62">
      <w:pPr>
        <w:pStyle w:val="Default"/>
        <w:spacing w:after="240" w:line="360" w:lineRule="auto"/>
        <w:jc w:val="both"/>
      </w:pPr>
      <w:r>
        <w:t xml:space="preserve">Pokazateljima odabranima za ostvarenje posebnog cilja 4. </w:t>
      </w:r>
      <w:r w:rsidRPr="00196073">
        <w:t>Jačanje zajednice i civilnog društva u funkciji poticanja aktivnog i kvalitetnog života građana</w:t>
      </w:r>
      <w:r>
        <w:t xml:space="preserve"> mjeri se razina komunikacija</w:t>
      </w:r>
      <w:r w:rsidRPr="0076403D">
        <w:t xml:space="preserve">, </w:t>
      </w:r>
      <w:r>
        <w:t>kreacije</w:t>
      </w:r>
      <w:r w:rsidRPr="0076403D">
        <w:t>, angaž</w:t>
      </w:r>
      <w:r>
        <w:t>mana i solidarnosti u društvu, s obzirom da razvijeno civilno društvo</w:t>
      </w:r>
      <w:r w:rsidRPr="0076403D">
        <w:t xml:space="preserve"> </w:t>
      </w:r>
      <w:r>
        <w:t>ima važne</w:t>
      </w:r>
      <w:r w:rsidRPr="0076403D">
        <w:t xml:space="preserve"> funkcije kao što su praćenje </w:t>
      </w:r>
      <w:r>
        <w:t xml:space="preserve">rada javnog </w:t>
      </w:r>
      <w:r w:rsidRPr="0076403D">
        <w:t xml:space="preserve">i privatnog sektora, zagovaranje prava građana i promicanje alternativa </w:t>
      </w:r>
      <w:r>
        <w:t>ustaljenim obrascima društvenog ponašanja</w:t>
      </w:r>
      <w:r w:rsidRPr="0076403D">
        <w:t>.</w:t>
      </w:r>
      <w:r>
        <w:t xml:space="preserve"> </w:t>
      </w:r>
      <w:r w:rsidR="008B54D2">
        <w:t xml:space="preserve">Većina </w:t>
      </w:r>
      <w:r w:rsidR="001E677E">
        <w:t>poda</w:t>
      </w:r>
      <w:r w:rsidR="008B54D2">
        <w:t xml:space="preserve">taka </w:t>
      </w:r>
      <w:r w:rsidR="001E677E">
        <w:t>za OBŽ po predviđenim pokazateljima ishoda pokazuj</w:t>
      </w:r>
      <w:r w:rsidR="008B54D2">
        <w:t>e</w:t>
      </w:r>
      <w:r w:rsidR="001E677E">
        <w:t xml:space="preserve"> napredak</w:t>
      </w:r>
      <w:r>
        <w:t>, a t</w:t>
      </w:r>
      <w:r w:rsidR="008B54D2">
        <w:t>o se ne odnosi samo na</w:t>
      </w:r>
      <w:r w:rsidR="001E677E">
        <w:t xml:space="preserve"> broj </w:t>
      </w:r>
      <w:r w:rsidR="008B54D2">
        <w:t xml:space="preserve">aktivnih udruga na području </w:t>
      </w:r>
      <w:r>
        <w:t>OBŽ</w:t>
      </w:r>
      <w:r w:rsidR="001E677E">
        <w:t xml:space="preserve"> </w:t>
      </w:r>
      <w:r w:rsidR="008B54D2">
        <w:t>koji je u međuvremenu smanjen, zbog efikasnijeg postupka brisanja udruga iz registra od strane nadležnog tijela temeljem izmjen</w:t>
      </w:r>
      <w:r>
        <w:t>a</w:t>
      </w:r>
      <w:r w:rsidR="008B54D2">
        <w:t xml:space="preserve"> i dopun</w:t>
      </w:r>
      <w:r>
        <w:t>a</w:t>
      </w:r>
      <w:r w:rsidR="008B54D2">
        <w:t xml:space="preserve"> Zakona o udrugama iz prosinca 2022. godine</w:t>
      </w:r>
      <w:r w:rsidR="001E677E">
        <w:t xml:space="preserve">. </w:t>
      </w:r>
    </w:p>
    <w:p w14:paraId="439D9624" w14:textId="59EDD584" w:rsidR="0076403D" w:rsidRDefault="0076403D" w:rsidP="00945E62">
      <w:pPr>
        <w:pStyle w:val="Default"/>
        <w:spacing w:after="240" w:line="360" w:lineRule="auto"/>
        <w:jc w:val="both"/>
      </w:pPr>
      <w:r>
        <w:t>Kvaliteta života građana ogledava se i u njihovom sudjelovanju u kulturnom i sportsko-rekreativnom životu na području na kojem žive. Područne vlasti u tom pogledu imaju ulogu poticanja aktivnosti građana kroz ciljana ulaganja u njihove kulturne i sportsko-rekreativne aktivnosti, kao i u jačanje infrastrukture i broja i kvalitete djelatnika u navedenim područjima. U tom</w:t>
      </w:r>
      <w:r w:rsidR="00177690">
        <w:t xml:space="preserve"> smislu je OBŽ značajno premašila</w:t>
      </w:r>
      <w:r>
        <w:t xml:space="preserve"> planirane ciljne vrijednosti rashoda za kulturu i rashoda za sport. Pritom </w:t>
      </w:r>
      <w:r w:rsidR="00AC0827">
        <w:t xml:space="preserve">treba napomenuti </w:t>
      </w:r>
      <w:r w:rsidR="00A43FE4">
        <w:t xml:space="preserve">projekt od strateškog značaja za OBŽ </w:t>
      </w:r>
      <w:r w:rsidR="00951868">
        <w:t>-</w:t>
      </w:r>
      <w:r w:rsidR="00A43FE4">
        <w:t xml:space="preserve"> </w:t>
      </w:r>
      <w:r w:rsidR="00A43FE4" w:rsidRPr="00605C80">
        <w:t>izgradnju Športske dvorane za Osnovnu školu Miroslava Krleže Čepin</w:t>
      </w:r>
      <w:r w:rsidR="00AC0827" w:rsidRPr="00605C80">
        <w:t xml:space="preserve"> u iznosu od </w:t>
      </w:r>
      <w:r w:rsidR="00605C80" w:rsidRPr="00605C80">
        <w:t xml:space="preserve">4,11 milijuna eura </w:t>
      </w:r>
      <w:r w:rsidR="00AC0827" w:rsidRPr="00605C80">
        <w:t>(</w:t>
      </w:r>
      <w:r w:rsidR="00605C80" w:rsidRPr="00605C80">
        <w:t>31 milijuna kuna</w:t>
      </w:r>
      <w:r w:rsidR="00AC0827" w:rsidRPr="00605C80">
        <w:t xml:space="preserve">). Također je </w:t>
      </w:r>
      <w:r w:rsidR="00A43FE4" w:rsidRPr="00605C80">
        <w:t>izra</w:t>
      </w:r>
      <w:r w:rsidR="00AC0827" w:rsidRPr="00605C80">
        <w:t>đena</w:t>
      </w:r>
      <w:r w:rsidR="00A43FE4" w:rsidRPr="00605C80">
        <w:t xml:space="preserve"> projektno-tehničk</w:t>
      </w:r>
      <w:r w:rsidR="00AC0827" w:rsidRPr="00605C80">
        <w:t>a</w:t>
      </w:r>
      <w:r w:rsidR="00A43FE4" w:rsidRPr="00605C80">
        <w:t xml:space="preserve"> dokumentacij</w:t>
      </w:r>
      <w:r w:rsidR="00AC0827" w:rsidRPr="00605C80">
        <w:t>a</w:t>
      </w:r>
      <w:r w:rsidR="00A43FE4" w:rsidRPr="00605C80">
        <w:t xml:space="preserve"> i ishođen</w:t>
      </w:r>
      <w:r w:rsidR="00AC0827" w:rsidRPr="00605C80">
        <w:t>a</w:t>
      </w:r>
      <w:r w:rsidR="00A43FE4" w:rsidRPr="00605C80">
        <w:t xml:space="preserve"> građevinsk</w:t>
      </w:r>
      <w:r w:rsidR="00AC0827" w:rsidRPr="00605C80">
        <w:t>a</w:t>
      </w:r>
      <w:r w:rsidR="00A43FE4" w:rsidRPr="00605C80">
        <w:t xml:space="preserve"> dozvol</w:t>
      </w:r>
      <w:r w:rsidR="00AC0827" w:rsidRPr="00605C80">
        <w:t>a</w:t>
      </w:r>
      <w:r w:rsidR="00A43FE4" w:rsidRPr="00605C80">
        <w:t xml:space="preserve"> za rekonstrukciju zgrade Hrvatskog narodnog kazališta u Osijeku i rekonstrukciju </w:t>
      </w:r>
      <w:r w:rsidR="00A43FE4" w:rsidRPr="00605C80">
        <w:lastRenderedPageBreak/>
        <w:t>postojeće i izgradnju nove zg</w:t>
      </w:r>
      <w:r w:rsidR="00AC0827" w:rsidRPr="00605C80">
        <w:t>rade Muzeja likovnih umjetnosti,</w:t>
      </w:r>
      <w:r w:rsidR="00AC0827">
        <w:t xml:space="preserve"> za </w:t>
      </w:r>
      <w:r w:rsidR="00605C80">
        <w:t>čiju je provedbu krajem 2023. godine otvoren</w:t>
      </w:r>
      <w:r w:rsidR="00AC0827">
        <w:t xml:space="preserve"> </w:t>
      </w:r>
      <w:r w:rsidR="001E7E51">
        <w:t xml:space="preserve">odgovarajući poziv za </w:t>
      </w:r>
      <w:r w:rsidR="00AC0827">
        <w:t>sufinanciranje iz fondova EU.</w:t>
      </w:r>
      <w:r w:rsidR="00A43FE4">
        <w:t xml:space="preserve"> </w:t>
      </w:r>
    </w:p>
    <w:p w14:paraId="0F95C264" w14:textId="4ED2EBB1" w:rsidR="00A43FE4" w:rsidRDefault="00A43FE4" w:rsidP="00945E62">
      <w:pPr>
        <w:pStyle w:val="Default"/>
        <w:spacing w:after="240" w:line="360" w:lineRule="auto"/>
        <w:jc w:val="both"/>
      </w:pPr>
      <w:r w:rsidRPr="00AC0827">
        <w:t>Osim ulaganja OBŽ, na području županije</w:t>
      </w:r>
      <w:r>
        <w:t xml:space="preserve"> </w:t>
      </w:r>
      <w:r w:rsidR="00AC0827">
        <w:t>se ulaže u niz strateških projekata u ovom području, pri čemu treba izdvojiti</w:t>
      </w:r>
      <w:r w:rsidR="008E7F33">
        <w:t>:</w:t>
      </w:r>
      <w:r w:rsidR="00AC0827">
        <w:t xml:space="preserve"> rekonstrukciju i dogradnju </w:t>
      </w:r>
      <w:proofErr w:type="spellStart"/>
      <w:r w:rsidR="00AC0827" w:rsidRPr="00605C80">
        <w:t>Copacabane</w:t>
      </w:r>
      <w:proofErr w:type="spellEnd"/>
      <w:r w:rsidR="00AC0827" w:rsidRPr="00605C80">
        <w:t xml:space="preserve"> u Osijeku (završena prva faza, očekuje se dovršetak cijelog projekta u 202</w:t>
      </w:r>
      <w:r w:rsidR="006A746A">
        <w:t>4</w:t>
      </w:r>
      <w:r w:rsidR="00AC0827" w:rsidRPr="00605C80">
        <w:t>. godini)</w:t>
      </w:r>
      <w:r w:rsidR="008E7F33" w:rsidRPr="00605C80">
        <w:t>,</w:t>
      </w:r>
      <w:r w:rsidR="00AC0827" w:rsidRPr="00605C80">
        <w:t xml:space="preserve"> ukupne vrijednosti </w:t>
      </w:r>
      <w:r w:rsidR="00605C80">
        <w:t>od gotovo 5 milijuna eura (gotovo 38</w:t>
      </w:r>
      <w:r w:rsidR="00AC0827" w:rsidRPr="00605C80">
        <w:t xml:space="preserve"> milijuna </w:t>
      </w:r>
      <w:r w:rsidR="00605C80">
        <w:t>kuna</w:t>
      </w:r>
      <w:r w:rsidR="00AC0827" w:rsidRPr="00605C80">
        <w:t>)</w:t>
      </w:r>
      <w:r w:rsidR="00605C80">
        <w:t xml:space="preserve"> te </w:t>
      </w:r>
      <w:r w:rsidR="008E7F33" w:rsidRPr="00605C80">
        <w:t>izgradnju športsko-rekreacijskog centra Bajer koju će financirati Grad Osijek</w:t>
      </w:r>
      <w:r w:rsidR="00605C80">
        <w:t>. Tijekom 2023. godine</w:t>
      </w:r>
      <w:r w:rsidR="00605C80" w:rsidRPr="00605C80">
        <w:t xml:space="preserve"> </w:t>
      </w:r>
      <w:r w:rsidR="00605C80">
        <w:t>izgr</w:t>
      </w:r>
      <w:r w:rsidR="00B7471D">
        <w:t>a</w:t>
      </w:r>
      <w:r w:rsidR="00605C80">
        <w:t>đena je, opremljena i stavljena u funkciju S</w:t>
      </w:r>
      <w:r w:rsidR="00605C80" w:rsidRPr="00605C80">
        <w:t>portsk</w:t>
      </w:r>
      <w:r w:rsidR="00605C80">
        <w:t>a</w:t>
      </w:r>
      <w:r w:rsidR="00605C80" w:rsidRPr="00605C80">
        <w:t xml:space="preserve"> dvoran</w:t>
      </w:r>
      <w:r w:rsidR="00605C80">
        <w:t>e</w:t>
      </w:r>
      <w:r w:rsidR="00605C80" w:rsidRPr="00605C80">
        <w:t xml:space="preserve"> u Općini Antunovac, ukupne vrijednosti 15 milijuna kuna (2 milijuna eura)</w:t>
      </w:r>
      <w:r w:rsidR="008E7F33" w:rsidRPr="00605C80">
        <w:t>.</w:t>
      </w:r>
    </w:p>
    <w:p w14:paraId="7F4F2B99" w14:textId="03DEEACF" w:rsidR="00A43FE4" w:rsidRDefault="00A43FE4" w:rsidP="00945E62">
      <w:pPr>
        <w:pStyle w:val="Default"/>
        <w:spacing w:after="240" w:line="360" w:lineRule="auto"/>
        <w:jc w:val="both"/>
      </w:pPr>
      <w:r>
        <w:t>Uz sve navedeno, OBŽ je proglašen</w:t>
      </w:r>
      <w:r w:rsidR="00177690">
        <w:t>a</w:t>
      </w:r>
      <w:r>
        <w:t xml:space="preserve"> </w:t>
      </w:r>
      <w:r w:rsidRPr="00A43FE4">
        <w:rPr>
          <w:color w:val="auto"/>
          <w:szCs w:val="18"/>
        </w:rPr>
        <w:t>Europskom regijom sporta 2024. godine</w:t>
      </w:r>
      <w:r>
        <w:rPr>
          <w:color w:val="auto"/>
          <w:szCs w:val="18"/>
        </w:rPr>
        <w:t xml:space="preserve"> temeljem dobre organ</w:t>
      </w:r>
      <w:r>
        <w:t xml:space="preserve">izacije po pitanju amaterskog, profesionalnog, individualnog i ekipnog sporta te značajnih domaćinstava u </w:t>
      </w:r>
      <w:r w:rsidRPr="00A43FE4">
        <w:rPr>
          <w:color w:val="auto"/>
          <w:szCs w:val="18"/>
        </w:rPr>
        <w:t xml:space="preserve">organizaciji velikih sportskih manifestacija. Titulu Europske regije sporta </w:t>
      </w:r>
      <w:r>
        <w:rPr>
          <w:color w:val="auto"/>
          <w:szCs w:val="18"/>
        </w:rPr>
        <w:t xml:space="preserve">OBŽ planira </w:t>
      </w:r>
      <w:r w:rsidRPr="00A43FE4">
        <w:rPr>
          <w:color w:val="auto"/>
          <w:szCs w:val="18"/>
        </w:rPr>
        <w:t xml:space="preserve">kvalitetno iskoristiti </w:t>
      </w:r>
      <w:r w:rsidR="003E5A82">
        <w:rPr>
          <w:color w:val="auto"/>
          <w:szCs w:val="18"/>
        </w:rPr>
        <w:t>te</w:t>
      </w:r>
      <w:r w:rsidRPr="00A43FE4">
        <w:rPr>
          <w:color w:val="auto"/>
          <w:szCs w:val="18"/>
        </w:rPr>
        <w:t xml:space="preserve"> tijekom </w:t>
      </w:r>
      <w:r>
        <w:rPr>
          <w:color w:val="auto"/>
          <w:szCs w:val="18"/>
        </w:rPr>
        <w:t>2</w:t>
      </w:r>
      <w:r w:rsidRPr="00A43FE4">
        <w:rPr>
          <w:color w:val="auto"/>
          <w:szCs w:val="18"/>
        </w:rPr>
        <w:t>024. godin</w:t>
      </w:r>
      <w:r w:rsidR="003E5A82">
        <w:rPr>
          <w:color w:val="auto"/>
          <w:szCs w:val="18"/>
        </w:rPr>
        <w:t>e</w:t>
      </w:r>
      <w:r w:rsidRPr="00A43FE4">
        <w:rPr>
          <w:color w:val="auto"/>
          <w:szCs w:val="18"/>
        </w:rPr>
        <w:t xml:space="preserve"> </w:t>
      </w:r>
      <w:r>
        <w:rPr>
          <w:color w:val="auto"/>
          <w:szCs w:val="18"/>
        </w:rPr>
        <w:t>staviti još</w:t>
      </w:r>
      <w:r w:rsidRPr="00A43FE4">
        <w:rPr>
          <w:color w:val="auto"/>
          <w:szCs w:val="18"/>
        </w:rPr>
        <w:t xml:space="preserve"> snažniji naglasak na sport, izgradnju sportske infrastrukture, opremanje sportskih terena i podizanje kvalitete i </w:t>
      </w:r>
      <w:r>
        <w:rPr>
          <w:color w:val="auto"/>
          <w:szCs w:val="18"/>
        </w:rPr>
        <w:t xml:space="preserve">uvjeta treniranja svih sportaša, pri čemu će se raditi i na realizaciji budućeg </w:t>
      </w:r>
      <w:r w:rsidRPr="00A43FE4">
        <w:rPr>
          <w:color w:val="auto"/>
          <w:szCs w:val="18"/>
        </w:rPr>
        <w:t>sportsk</w:t>
      </w:r>
      <w:r>
        <w:rPr>
          <w:color w:val="auto"/>
          <w:szCs w:val="18"/>
        </w:rPr>
        <w:t>og</w:t>
      </w:r>
      <w:r w:rsidRPr="00A43FE4">
        <w:rPr>
          <w:color w:val="auto"/>
          <w:szCs w:val="18"/>
        </w:rPr>
        <w:t xml:space="preserve"> inkubator</w:t>
      </w:r>
      <w:r>
        <w:rPr>
          <w:color w:val="auto"/>
          <w:szCs w:val="18"/>
        </w:rPr>
        <w:t>a</w:t>
      </w:r>
      <w:r w:rsidRPr="00A43FE4">
        <w:rPr>
          <w:color w:val="auto"/>
          <w:szCs w:val="18"/>
        </w:rPr>
        <w:t xml:space="preserve"> </w:t>
      </w:r>
      <w:r>
        <w:rPr>
          <w:color w:val="auto"/>
          <w:szCs w:val="18"/>
        </w:rPr>
        <w:t xml:space="preserve">OBŽ kao </w:t>
      </w:r>
      <w:r w:rsidRPr="00A43FE4">
        <w:rPr>
          <w:color w:val="auto"/>
          <w:szCs w:val="18"/>
        </w:rPr>
        <w:t>jedinstven</w:t>
      </w:r>
      <w:r>
        <w:rPr>
          <w:color w:val="auto"/>
          <w:szCs w:val="18"/>
        </w:rPr>
        <w:t>og</w:t>
      </w:r>
      <w:r w:rsidRPr="00A43FE4">
        <w:rPr>
          <w:color w:val="auto"/>
          <w:szCs w:val="18"/>
        </w:rPr>
        <w:t xml:space="preserve"> </w:t>
      </w:r>
      <w:r>
        <w:rPr>
          <w:color w:val="auto"/>
          <w:szCs w:val="18"/>
        </w:rPr>
        <w:t xml:space="preserve">projekta </w:t>
      </w:r>
      <w:r w:rsidRPr="00A43FE4">
        <w:rPr>
          <w:color w:val="auto"/>
          <w:szCs w:val="18"/>
        </w:rPr>
        <w:t>u Hrvatskoj.   </w:t>
      </w:r>
    </w:p>
    <w:p w14:paraId="3B71606C" w14:textId="204DCCD3" w:rsidR="00C0009D" w:rsidRDefault="00D34C1E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</w:t>
      </w:r>
      <w:r w:rsidR="00A43FE4">
        <w:t>4</w:t>
      </w:r>
      <w:r>
        <w:t xml:space="preserve"> utrošeno </w:t>
      </w:r>
      <w:r w:rsidR="003E5A82" w:rsidRPr="003E5A82">
        <w:t>10.003.545,10</w:t>
      </w:r>
      <w:r w:rsidR="003E5A82">
        <w:t xml:space="preserve"> eura</w:t>
      </w:r>
      <w:r w:rsidR="003E5A82" w:rsidRPr="003E5A82">
        <w:t xml:space="preserve"> (75.371.710,56</w:t>
      </w:r>
      <w:r w:rsidR="003E5A82">
        <w:t xml:space="preserve"> kuna</w:t>
      </w:r>
      <w:r w:rsidR="003E5A82" w:rsidRPr="003E5A82">
        <w:t>)</w:t>
      </w:r>
      <w:r>
        <w:t>.</w:t>
      </w:r>
    </w:p>
    <w:p w14:paraId="4A256324" w14:textId="77777777" w:rsidR="00945E62" w:rsidRPr="001049FC" w:rsidRDefault="00945E62" w:rsidP="0091300A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19" w:name="_Toc128473033"/>
      <w:bookmarkStart w:id="20" w:name="_Hlk159417994"/>
      <w:bookmarkStart w:id="21" w:name="_Hlk159413884"/>
      <w:bookmarkEnd w:id="16"/>
      <w:r w:rsidRPr="001049FC">
        <w:rPr>
          <w:b/>
          <w:bCs/>
        </w:rPr>
        <w:t xml:space="preserve">5. </w:t>
      </w:r>
      <w:r w:rsidR="00196073" w:rsidRPr="001049FC">
        <w:rPr>
          <w:b/>
          <w:bCs/>
        </w:rPr>
        <w:t>Unaprjeđenje sustava zaštite okoliša i održivog korištenja prirode te jačanje otpornosti i ublažavanje klimatskih promjena</w:t>
      </w:r>
      <w:bookmarkEnd w:id="19"/>
      <w:r w:rsidRPr="001049FC">
        <w:rPr>
          <w:b/>
          <w:bCs/>
        </w:rPr>
        <w:t xml:space="preserve"> </w:t>
      </w:r>
    </w:p>
    <w:p w14:paraId="1759413C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22" w:name="_Toc128473034"/>
      <w:r>
        <w:t>5</w:t>
      </w:r>
      <w:r w:rsidRPr="00650F05">
        <w:t>.</w:t>
      </w:r>
      <w:r>
        <w:t>1</w:t>
      </w:r>
      <w:r w:rsidRPr="00650F05">
        <w:t>. Ostvarene vrijednosti pokazatelja ishoda</w:t>
      </w:r>
      <w:bookmarkEnd w:id="22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263"/>
      </w:tblGrid>
      <w:tr w:rsidR="00945E62" w14:paraId="0396EA71" w14:textId="77777777" w:rsidTr="00DB5319">
        <w:tc>
          <w:tcPr>
            <w:tcW w:w="2547" w:type="dxa"/>
            <w:vAlign w:val="center"/>
          </w:tcPr>
          <w:p w14:paraId="56285684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59417970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126" w:type="dxa"/>
            <w:vAlign w:val="center"/>
          </w:tcPr>
          <w:p w14:paraId="648BD6E0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2126" w:type="dxa"/>
            <w:vAlign w:val="center"/>
          </w:tcPr>
          <w:p w14:paraId="63BF2FCE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263" w:type="dxa"/>
            <w:vAlign w:val="center"/>
          </w:tcPr>
          <w:p w14:paraId="3899E946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3E39F93A" w14:textId="77777777" w:rsidTr="00DB5319">
        <w:tc>
          <w:tcPr>
            <w:tcW w:w="2547" w:type="dxa"/>
            <w:vAlign w:val="center"/>
          </w:tcPr>
          <w:p w14:paraId="4FAC9384" w14:textId="77777777" w:rsidR="00196073" w:rsidRPr="001E7E51" w:rsidRDefault="00196073" w:rsidP="00FF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51">
              <w:rPr>
                <w:rFonts w:ascii="Times New Roman" w:hAnsi="Times New Roman" w:cs="Times New Roman"/>
                <w:sz w:val="24"/>
                <w:szCs w:val="24"/>
              </w:rPr>
              <w:t>Zaštićena područja za biološku raznolikost: Direktiva o staništima</w:t>
            </w:r>
          </w:p>
        </w:tc>
        <w:tc>
          <w:tcPr>
            <w:tcW w:w="2126" w:type="dxa"/>
            <w:vAlign w:val="center"/>
          </w:tcPr>
          <w:p w14:paraId="2AA41E13" w14:textId="77777777" w:rsidR="00196073" w:rsidRPr="001E7E51" w:rsidRDefault="00196073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1">
              <w:rPr>
                <w:rFonts w:ascii="Times New Roman" w:hAnsi="Times New Roman" w:cs="Times New Roman"/>
                <w:sz w:val="24"/>
                <w:szCs w:val="24"/>
              </w:rPr>
              <w:t>20,45% površine (2021.)</w:t>
            </w:r>
          </w:p>
        </w:tc>
        <w:tc>
          <w:tcPr>
            <w:tcW w:w="2126" w:type="dxa"/>
            <w:vAlign w:val="center"/>
          </w:tcPr>
          <w:p w14:paraId="752280B0" w14:textId="77777777" w:rsidR="00196073" w:rsidRPr="001E7E51" w:rsidRDefault="00196073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1">
              <w:rPr>
                <w:rFonts w:ascii="Times New Roman" w:hAnsi="Times New Roman" w:cs="Times New Roman"/>
                <w:sz w:val="24"/>
                <w:szCs w:val="24"/>
              </w:rPr>
              <w:t>20,45% površine</w:t>
            </w:r>
          </w:p>
        </w:tc>
        <w:tc>
          <w:tcPr>
            <w:tcW w:w="2263" w:type="dxa"/>
            <w:vAlign w:val="center"/>
          </w:tcPr>
          <w:p w14:paraId="47AFCC35" w14:textId="77777777" w:rsidR="00196073" w:rsidRDefault="000E7F48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20,45% (2022.)</w:t>
            </w:r>
          </w:p>
        </w:tc>
      </w:tr>
      <w:tr w:rsidR="005639C6" w14:paraId="19A7C596" w14:textId="77777777" w:rsidTr="00DB5319">
        <w:tc>
          <w:tcPr>
            <w:tcW w:w="2547" w:type="dxa"/>
            <w:vAlign w:val="center"/>
          </w:tcPr>
          <w:p w14:paraId="511AF618" w14:textId="77777777" w:rsidR="005639C6" w:rsidRPr="001E7E51" w:rsidRDefault="005639C6" w:rsidP="0056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51">
              <w:rPr>
                <w:rFonts w:ascii="Times New Roman" w:hAnsi="Times New Roman" w:cs="Times New Roman"/>
                <w:sz w:val="24"/>
                <w:szCs w:val="24"/>
              </w:rPr>
              <w:t>Investicije u zaštitu okoliša</w:t>
            </w:r>
          </w:p>
        </w:tc>
        <w:tc>
          <w:tcPr>
            <w:tcW w:w="2126" w:type="dxa"/>
            <w:vAlign w:val="center"/>
          </w:tcPr>
          <w:p w14:paraId="2CF8DC6E" w14:textId="77777777" w:rsidR="005639C6" w:rsidRDefault="005639C6" w:rsidP="005639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39C6">
              <w:rPr>
                <w:rFonts w:ascii="Times New Roman" w:hAnsi="Times New Roman" w:cs="Times New Roman"/>
                <w:sz w:val="23"/>
                <w:szCs w:val="23"/>
              </w:rPr>
              <w:t>95,2 milijuna HRK (12.6 milijuna EUR)</w:t>
            </w:r>
          </w:p>
          <w:p w14:paraId="125FD043" w14:textId="622D349C" w:rsidR="005639C6" w:rsidRPr="005639C6" w:rsidRDefault="005639C6" w:rsidP="005639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39C6">
              <w:rPr>
                <w:rFonts w:ascii="Times New Roman" w:hAnsi="Times New Roman" w:cs="Times New Roman"/>
                <w:sz w:val="23"/>
                <w:szCs w:val="23"/>
              </w:rPr>
              <w:t>(2020.)</w:t>
            </w:r>
          </w:p>
        </w:tc>
        <w:tc>
          <w:tcPr>
            <w:tcW w:w="2126" w:type="dxa"/>
            <w:vAlign w:val="center"/>
          </w:tcPr>
          <w:p w14:paraId="0FA07B00" w14:textId="77777777" w:rsidR="005639C6" w:rsidRDefault="005639C6" w:rsidP="005639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39C6">
              <w:rPr>
                <w:rFonts w:ascii="Times New Roman" w:hAnsi="Times New Roman" w:cs="Times New Roman"/>
                <w:sz w:val="23"/>
                <w:szCs w:val="23"/>
              </w:rPr>
              <w:t>&gt; 150 milijuna HRK</w:t>
            </w:r>
          </w:p>
          <w:p w14:paraId="00C55024" w14:textId="1A9B590A" w:rsidR="005639C6" w:rsidRPr="005639C6" w:rsidRDefault="005639C6" w:rsidP="005639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639C6">
              <w:rPr>
                <w:rFonts w:ascii="Times New Roman" w:hAnsi="Times New Roman" w:cs="Times New Roman"/>
                <w:sz w:val="23"/>
                <w:szCs w:val="23"/>
              </w:rPr>
              <w:t>(19.9 milijuna EUR)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CA03897" w14:textId="3D6736E9" w:rsidR="005639C6" w:rsidRDefault="00BC5CB0" w:rsidP="0056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B5319" w:rsidRPr="00DB5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639C6" w:rsidRPr="00DB5319">
              <w:rPr>
                <w:rFonts w:ascii="Times New Roman" w:hAnsi="Times New Roman" w:cs="Times New Roman"/>
                <w:sz w:val="24"/>
                <w:szCs w:val="24"/>
              </w:rPr>
              <w:t xml:space="preserve"> milijuna HRK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5319" w:rsidRPr="00DB531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9C6" w:rsidRPr="00DB5319">
              <w:rPr>
                <w:rFonts w:ascii="Times New Roman" w:hAnsi="Times New Roman" w:cs="Times New Roman"/>
                <w:sz w:val="24"/>
                <w:szCs w:val="24"/>
              </w:rPr>
              <w:t xml:space="preserve"> milijuna EUR) (2022</w:t>
            </w:r>
            <w:r w:rsidR="00DB5319" w:rsidRPr="00DB5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39C6" w:rsidRPr="00DB5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53CA78" w14:textId="77777777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B3DEA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24" w:name="_Toc128473035"/>
      <w:r>
        <w:t>5</w:t>
      </w:r>
      <w:r w:rsidRPr="00650F05">
        <w:t xml:space="preserve">.2. Opis napretka u provedbi posebnog cilja </w:t>
      </w:r>
      <w:r w:rsidR="00196073">
        <w:t>5</w:t>
      </w:r>
      <w:bookmarkEnd w:id="24"/>
      <w:r w:rsidRPr="00650F05">
        <w:t xml:space="preserve"> </w:t>
      </w:r>
    </w:p>
    <w:p w14:paraId="51D313C5" w14:textId="7D78567A" w:rsidR="0092224D" w:rsidRDefault="0092224D" w:rsidP="0092224D">
      <w:pPr>
        <w:pStyle w:val="Default"/>
        <w:spacing w:after="240" w:line="360" w:lineRule="auto"/>
        <w:jc w:val="both"/>
      </w:pPr>
      <w:r>
        <w:t>Na području OBŽ nalazi se ukupno 1</w:t>
      </w:r>
      <w:r w:rsidR="00CD2BCE">
        <w:t>8</w:t>
      </w:r>
      <w:r>
        <w:t xml:space="preserve"> zaštićenih područja u šest kategorija zaštite (</w:t>
      </w:r>
      <w:r w:rsidR="00CD2BCE">
        <w:rPr>
          <w:lang w:eastAsia="hr-HR"/>
        </w:rPr>
        <w:t xml:space="preserve">Park prirode, Posebni rezervat ornitološki i zoološki, Regionalni park, Značajni krajobraz, Spomenik </w:t>
      </w:r>
      <w:r w:rsidR="00CD2BCE">
        <w:rPr>
          <w:lang w:eastAsia="hr-HR"/>
        </w:rPr>
        <w:lastRenderedPageBreak/>
        <w:t>parkovne arhitekture i Spomenik prirode</w:t>
      </w:r>
      <w:r>
        <w:t xml:space="preserve">). </w:t>
      </w:r>
      <w:r w:rsidR="00EF01AE">
        <w:t>Među</w:t>
      </w:r>
      <w:r>
        <w:t xml:space="preserve"> najvrjedniji</w:t>
      </w:r>
      <w:r w:rsidR="00EF01AE">
        <w:t>m</w:t>
      </w:r>
      <w:r>
        <w:t xml:space="preserve"> područj</w:t>
      </w:r>
      <w:r w:rsidR="00EF01AE">
        <w:t>im</w:t>
      </w:r>
      <w:r>
        <w:t xml:space="preserve">a za bioraznolikost u Hrvatskoj </w:t>
      </w:r>
      <w:r w:rsidR="00EF01AE">
        <w:t xml:space="preserve">nalazi se Park prirode Kopački rit koji je </w:t>
      </w:r>
      <w:r>
        <w:t xml:space="preserve">uvršten na Popis </w:t>
      </w:r>
      <w:proofErr w:type="spellStart"/>
      <w:r>
        <w:t>Ramsarskih</w:t>
      </w:r>
      <w:proofErr w:type="spellEnd"/>
      <w:r>
        <w:t xml:space="preserve"> područja te je na listi programa </w:t>
      </w:r>
      <w:proofErr w:type="spellStart"/>
      <w:r>
        <w:t>IBAs</w:t>
      </w:r>
      <w:proofErr w:type="spellEnd"/>
      <w:r>
        <w:t xml:space="preserve"> (</w:t>
      </w:r>
      <w:proofErr w:type="spellStart"/>
      <w:r w:rsidRPr="00EF01AE">
        <w:rPr>
          <w:i/>
        </w:rPr>
        <w:t>Important</w:t>
      </w:r>
      <w:proofErr w:type="spellEnd"/>
      <w:r w:rsidRPr="00EF01AE">
        <w:rPr>
          <w:i/>
        </w:rPr>
        <w:t xml:space="preserve"> Bird </w:t>
      </w:r>
      <w:proofErr w:type="spellStart"/>
      <w:r w:rsidRPr="00EF01AE">
        <w:rPr>
          <w:i/>
        </w:rPr>
        <w:t>Areas</w:t>
      </w:r>
      <w:proofErr w:type="spellEnd"/>
      <w:r w:rsidR="00177690">
        <w:t>). Na području OBŽ</w:t>
      </w:r>
      <w:r>
        <w:t xml:space="preserve"> prostire se i Prekogranični rezervat biosfere Mura-Drava-Dunav, koji je proglašen u rujnu 2021. godine u sklopu UNESCO-ova programa </w:t>
      </w:r>
      <w:r w:rsidR="00AC4318">
        <w:t>"</w:t>
      </w:r>
      <w:r>
        <w:t>Čovjek i biosfera</w:t>
      </w:r>
      <w:r w:rsidR="00AC4318">
        <w:t>"</w:t>
      </w:r>
      <w:r>
        <w:t xml:space="preserve"> (MAB). </w:t>
      </w:r>
      <w:r w:rsidR="00EF01AE">
        <w:t>Također, e</w:t>
      </w:r>
      <w:r>
        <w:t xml:space="preserve">kološka mreža Hrvatske zauzima oko </w:t>
      </w:r>
      <w:r w:rsidR="00CD2BCE">
        <w:t>2</w:t>
      </w:r>
      <w:r>
        <w:t xml:space="preserve">3 % površine OBŽ, </w:t>
      </w:r>
      <w:r w:rsidR="00EF01AE">
        <w:t>s ukupno</w:t>
      </w:r>
      <w:r>
        <w:t xml:space="preserve"> 1</w:t>
      </w:r>
      <w:r w:rsidR="0054160C">
        <w:t>7</w:t>
      </w:r>
      <w:r>
        <w:t xml:space="preserve"> </w:t>
      </w:r>
      <w:r w:rsidR="00EF01AE">
        <w:t xml:space="preserve">obuhvaćenih </w:t>
      </w:r>
      <w:r w:rsidR="00CD2BCE">
        <w:t xml:space="preserve">zaštićenih </w:t>
      </w:r>
      <w:r>
        <w:t>područja</w:t>
      </w:r>
      <w:r w:rsidR="0054160C">
        <w:t xml:space="preserve"> </w:t>
      </w:r>
      <w:r w:rsidR="00AC4318">
        <w:t>-</w:t>
      </w:r>
      <w:r w:rsidR="0054160C">
        <w:t xml:space="preserve"> tri područja očuvanja značajna za ptice (POP) i 14 za vrste i stanišne tipove (POVS)</w:t>
      </w:r>
      <w:r>
        <w:t>.</w:t>
      </w:r>
    </w:p>
    <w:p w14:paraId="3FDA5A32" w14:textId="16539262" w:rsidR="001E7E51" w:rsidRDefault="00EF01AE" w:rsidP="00945E62">
      <w:pPr>
        <w:pStyle w:val="Default"/>
        <w:spacing w:after="240" w:line="360" w:lineRule="auto"/>
        <w:jc w:val="both"/>
      </w:pPr>
      <w:r>
        <w:t>Iz podataka o pokazateljima ishoda vidljivo je da su zadržana sva zaštićena područja za biološku raznolikost, određena temeljem Direktive o staništima</w:t>
      </w:r>
      <w:r w:rsidR="0048627C">
        <w:t>. Državni zavod za statistiku više ne prati</w:t>
      </w:r>
      <w:r>
        <w:t xml:space="preserve"> investicije u području zaštite okoliša </w:t>
      </w:r>
      <w:r w:rsidR="0048627C">
        <w:t>na razini županija te prema dostupnim podacima nije moguće odrediti koliko su one ukupno iznosile za</w:t>
      </w:r>
      <w:r>
        <w:t xml:space="preserve"> OBŽ </w:t>
      </w:r>
      <w:r w:rsidR="0048627C">
        <w:t xml:space="preserve">u promatranom razdoblju. </w:t>
      </w:r>
      <w:r w:rsidR="0048627C" w:rsidRPr="00BC5CB0">
        <w:t>Podatak je dostupan za cjelokupnu Republiku Hrvatsku za 202</w:t>
      </w:r>
      <w:r w:rsidR="00B219E8" w:rsidRPr="00BC5CB0">
        <w:t>2</w:t>
      </w:r>
      <w:r w:rsidR="0048627C" w:rsidRPr="00BC5CB0">
        <w:t>. godinu</w:t>
      </w:r>
      <w:r w:rsidR="00B219E8" w:rsidRPr="00BC5CB0">
        <w:t xml:space="preserve"> </w:t>
      </w:r>
      <w:r w:rsidR="00BC5CB0">
        <w:t>(</w:t>
      </w:r>
      <w:r w:rsidR="00B219E8" w:rsidRPr="00BC5CB0">
        <w:t>pri čemu je došlo do smanjenja od 3,3% u odnosu na iznos iz 2021. godine</w:t>
      </w:r>
      <w:r w:rsidR="00BC5CB0">
        <w:t>)</w:t>
      </w:r>
      <w:r w:rsidR="00DB5319" w:rsidRPr="00BC5CB0">
        <w:t xml:space="preserve"> no kada se podatak primijeni na OBŽ temeljem </w:t>
      </w:r>
      <w:r w:rsidR="00BD63BE" w:rsidRPr="00BC5CB0">
        <w:t>udjela bruto društvenog proizvoda u BDP-u na razini RH (podatak dostupan za 2020. godinu)</w:t>
      </w:r>
      <w:r w:rsidR="00DB5319" w:rsidRPr="00BC5CB0">
        <w:t>, ukupni iznos investicij</w:t>
      </w:r>
      <w:r w:rsidR="00BD63BE" w:rsidRPr="00BC5CB0">
        <w:t>a</w:t>
      </w:r>
      <w:r w:rsidR="00DB5319" w:rsidRPr="00BC5CB0">
        <w:t xml:space="preserve"> </w:t>
      </w:r>
      <w:r w:rsidR="00BD63BE" w:rsidRPr="00BC5CB0">
        <w:t xml:space="preserve">u OBŽ porastao je za </w:t>
      </w:r>
      <w:r w:rsidR="00BC5CB0">
        <w:t>gotovo</w:t>
      </w:r>
      <w:r w:rsidR="00BD63BE" w:rsidRPr="00BC5CB0">
        <w:t xml:space="preserve"> 1</w:t>
      </w:r>
      <w:r w:rsidR="00DB5319" w:rsidRPr="00BC5CB0">
        <w:t>%</w:t>
      </w:r>
      <w:r w:rsidR="0048627C" w:rsidRPr="00BC5CB0">
        <w:t>.</w:t>
      </w:r>
      <w:r w:rsidR="00BC5CB0">
        <w:t xml:space="preserve"> </w:t>
      </w:r>
      <w:r w:rsidR="00A664EC">
        <w:t>Kada bi bili</w:t>
      </w:r>
      <w:r w:rsidR="00BC5CB0">
        <w:t xml:space="preserve"> dostupni noviji podaci o BDP-u županija, </w:t>
      </w:r>
      <w:r w:rsidR="00A664EC">
        <w:t>povećan</w:t>
      </w:r>
      <w:r w:rsidR="00BC5CB0">
        <w:t>je</w:t>
      </w:r>
      <w:r w:rsidR="00A664EC">
        <w:t xml:space="preserve"> bi moglo biti i značajnije.</w:t>
      </w:r>
      <w:r w:rsidR="00BC5CB0">
        <w:t xml:space="preserve"> </w:t>
      </w:r>
    </w:p>
    <w:p w14:paraId="29AA5DA3" w14:textId="4368921B" w:rsidR="00945E62" w:rsidRPr="00650F05" w:rsidRDefault="00177690" w:rsidP="00945E62">
      <w:pPr>
        <w:pStyle w:val="Default"/>
        <w:spacing w:after="240" w:line="360" w:lineRule="auto"/>
        <w:jc w:val="both"/>
      </w:pPr>
      <w:r>
        <w:t>OBŽ se Planom razvoja obvezala</w:t>
      </w:r>
      <w:r w:rsidR="0092224D">
        <w:t xml:space="preserve"> u sljedećem razdoblju raditi na smanjenju onečišćenja i unaprjeđenju kvalitete okoliša i prirode, učinkovito upravljati zaštićenim dijelovima prirode i ekološke mreže, promicati održivo upravljanje resursima i ulaganja u obnovljive izvore energije, energetsku obnovu i tranziciju, zelenu gradnju i urbanu zelenu infrastrukturu u svrhu povećanja energetske učinkovitosti, smanjenja emisija stakleničkih plinova i ublažavanja klimatskih promjena.</w:t>
      </w:r>
      <w:r w:rsidR="00EF01AE">
        <w:t xml:space="preserve"> U skladu</w:t>
      </w:r>
      <w:r w:rsidR="00F72C24">
        <w:t xml:space="preserve"> s</w:t>
      </w:r>
      <w:r w:rsidR="00EF01AE">
        <w:t xml:space="preserve"> tom obvezom, OBŽ </w:t>
      </w:r>
      <w:r>
        <w:t xml:space="preserve">je u prethodnom razdoblju </w:t>
      </w:r>
      <w:r w:rsidR="00E803F9">
        <w:t>pokrenula postupak i odabrala ovlaštenike za izradu Strateške studije utjecaja na okoliš VI. Izmjena i dopuna Prostornog plana OBŽ i Strateške studije utjecaja na okoliš Plana gospodarenjem otpadom OBŽ</w:t>
      </w:r>
      <w:r w:rsidR="00902740">
        <w:t>, čija izrada je također bila u tijeku u 2023. godini</w:t>
      </w:r>
      <w:r w:rsidR="00F51D5F" w:rsidRPr="00F51D5F">
        <w:t>.</w:t>
      </w:r>
      <w:r w:rsidR="00EF01AE">
        <w:t xml:space="preserve"> </w:t>
      </w:r>
      <w:r w:rsidR="00902740" w:rsidRPr="00902740">
        <w:t>Osim toga,</w:t>
      </w:r>
      <w:r w:rsidR="00E803F9" w:rsidRPr="00902740">
        <w:t xml:space="preserve"> </w:t>
      </w:r>
      <w:r w:rsidR="00F51D5F" w:rsidRPr="00902740">
        <w:t>revitaliz</w:t>
      </w:r>
      <w:r w:rsidR="00E803F9" w:rsidRPr="00902740">
        <w:t>iran</w:t>
      </w:r>
      <w:r w:rsidR="00F51D5F" w:rsidRPr="00902740">
        <w:t xml:space="preserve"> </w:t>
      </w:r>
      <w:r w:rsidR="00902740" w:rsidRPr="00902740">
        <w:t xml:space="preserve">je </w:t>
      </w:r>
      <w:r w:rsidR="00F51D5F" w:rsidRPr="00902740">
        <w:t>posebn</w:t>
      </w:r>
      <w:r w:rsidR="00E803F9" w:rsidRPr="00902740">
        <w:t>i</w:t>
      </w:r>
      <w:r w:rsidR="00F51D5F" w:rsidRPr="00902740">
        <w:t xml:space="preserve"> ornitološk</w:t>
      </w:r>
      <w:r w:rsidR="00E803F9" w:rsidRPr="00902740">
        <w:t>i</w:t>
      </w:r>
      <w:r w:rsidR="00F51D5F" w:rsidRPr="00902740">
        <w:t xml:space="preserve"> rezervat </w:t>
      </w:r>
      <w:proofErr w:type="spellStart"/>
      <w:r w:rsidR="00F51D5F" w:rsidRPr="00902740">
        <w:t>Podpanj</w:t>
      </w:r>
      <w:proofErr w:type="spellEnd"/>
      <w:r w:rsidR="00902740" w:rsidRPr="00902740">
        <w:t xml:space="preserve"> te izrađeno Izvješće o provedbi Plana gospodarenja otpadom RH na području OBŽ</w:t>
      </w:r>
      <w:r w:rsidR="00F51D5F" w:rsidRPr="00902740">
        <w:t>.</w:t>
      </w:r>
    </w:p>
    <w:p w14:paraId="07D6ED5E" w14:textId="0BE26984" w:rsidR="008A7E73" w:rsidRDefault="008A7E73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902740">
        <w:t>3</w:t>
      </w:r>
      <w:r w:rsidR="00177690">
        <w:t>. godini</w:t>
      </w:r>
      <w:r>
        <w:t xml:space="preserve"> na realizaciju posebnog cilja 5 utrošeno </w:t>
      </w:r>
      <w:r w:rsidR="005639C6" w:rsidRPr="005639C6">
        <w:t>479.644,82</w:t>
      </w:r>
      <w:r w:rsidR="005639C6">
        <w:t xml:space="preserve"> eura</w:t>
      </w:r>
      <w:r w:rsidR="005639C6" w:rsidRPr="005639C6">
        <w:t xml:space="preserve"> (3.613.883,90</w:t>
      </w:r>
      <w:r w:rsidR="005639C6">
        <w:t xml:space="preserve"> kuna</w:t>
      </w:r>
      <w:r w:rsidR="005639C6" w:rsidRPr="005639C6">
        <w:t>)</w:t>
      </w:r>
      <w:r>
        <w:t>.</w:t>
      </w:r>
    </w:p>
    <w:p w14:paraId="4E111572" w14:textId="77777777" w:rsidR="001049FC" w:rsidRDefault="001049F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Toc128473036"/>
      <w:bookmarkStart w:id="26" w:name="_Hlk159420870"/>
      <w:bookmarkEnd w:id="23"/>
      <w:r>
        <w:br w:type="page"/>
      </w:r>
    </w:p>
    <w:p w14:paraId="5B5CD6A2" w14:textId="04125344" w:rsidR="00945E62" w:rsidRPr="001049FC" w:rsidRDefault="00945E62" w:rsidP="008A7E73">
      <w:pPr>
        <w:pStyle w:val="Default"/>
        <w:spacing w:after="240" w:line="360" w:lineRule="auto"/>
        <w:jc w:val="both"/>
        <w:outlineLvl w:val="1"/>
        <w:rPr>
          <w:b/>
          <w:bCs/>
        </w:rPr>
      </w:pPr>
      <w:r w:rsidRPr="001049FC">
        <w:rPr>
          <w:b/>
          <w:bCs/>
        </w:rPr>
        <w:lastRenderedPageBreak/>
        <w:t xml:space="preserve">6. </w:t>
      </w:r>
      <w:r w:rsidR="00196073" w:rsidRPr="001049FC">
        <w:rPr>
          <w:b/>
          <w:bCs/>
        </w:rPr>
        <w:t>Razvoj lokalne i regionalne infrastrukture radi unaprjeđenja kvalitete života s ciljem ekološke i energetske tranzicije</w:t>
      </w:r>
      <w:bookmarkEnd w:id="25"/>
      <w:r w:rsidRPr="001049FC">
        <w:rPr>
          <w:b/>
          <w:bCs/>
        </w:rPr>
        <w:t xml:space="preserve"> </w:t>
      </w:r>
    </w:p>
    <w:p w14:paraId="13A2FA7E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27" w:name="_Toc128473037"/>
      <w:r>
        <w:t>6</w:t>
      </w:r>
      <w:r w:rsidRPr="00650F05">
        <w:t>.</w:t>
      </w:r>
      <w:r>
        <w:t>1</w:t>
      </w:r>
      <w:r w:rsidRPr="00650F05">
        <w:t>. Ostvarene vrijednosti pokazatelja ishoda</w:t>
      </w:r>
      <w:bookmarkEnd w:id="27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2546"/>
      </w:tblGrid>
      <w:tr w:rsidR="00945E62" w14:paraId="602F1128" w14:textId="77777777" w:rsidTr="0048627C">
        <w:tc>
          <w:tcPr>
            <w:tcW w:w="3823" w:type="dxa"/>
            <w:vAlign w:val="center"/>
          </w:tcPr>
          <w:p w14:paraId="6E706DFD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417" w:type="dxa"/>
            <w:vAlign w:val="center"/>
          </w:tcPr>
          <w:p w14:paraId="6A388848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276" w:type="dxa"/>
            <w:vAlign w:val="center"/>
          </w:tcPr>
          <w:p w14:paraId="15D11849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546" w:type="dxa"/>
            <w:vAlign w:val="center"/>
          </w:tcPr>
          <w:p w14:paraId="119D721A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1354A1B7" w14:textId="77777777" w:rsidTr="0048627C">
        <w:tc>
          <w:tcPr>
            <w:tcW w:w="3823" w:type="dxa"/>
            <w:vAlign w:val="center"/>
          </w:tcPr>
          <w:p w14:paraId="08B210D7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Stanovništvo priključeno na javnu vodoopskrbu</w:t>
            </w:r>
          </w:p>
        </w:tc>
        <w:tc>
          <w:tcPr>
            <w:tcW w:w="1417" w:type="dxa"/>
            <w:vAlign w:val="center"/>
          </w:tcPr>
          <w:p w14:paraId="323CAB66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98,5</w:t>
            </w:r>
            <w:r w:rsidR="000E7F48">
              <w:rPr>
                <w:rFonts w:ascii="Times New Roman" w:hAnsi="Times New Roman" w:cs="Times New Roman"/>
                <w:sz w:val="24"/>
              </w:rPr>
              <w:t>0</w:t>
            </w:r>
            <w:r w:rsidRPr="00196073">
              <w:rPr>
                <w:rFonts w:ascii="Times New Roman" w:hAnsi="Times New Roman" w:cs="Times New Roman"/>
                <w:sz w:val="24"/>
              </w:rPr>
              <w:t>% (2019.)</w:t>
            </w:r>
          </w:p>
        </w:tc>
        <w:tc>
          <w:tcPr>
            <w:tcW w:w="1276" w:type="dxa"/>
            <w:vAlign w:val="center"/>
          </w:tcPr>
          <w:p w14:paraId="5C8830BC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99,5%</w:t>
            </w:r>
          </w:p>
        </w:tc>
        <w:tc>
          <w:tcPr>
            <w:tcW w:w="2546" w:type="dxa"/>
            <w:vAlign w:val="center"/>
          </w:tcPr>
          <w:p w14:paraId="6FC27D7A" w14:textId="1BEE2834" w:rsidR="00196073" w:rsidRDefault="000E7F48" w:rsidP="000E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9</w:t>
            </w:r>
            <w:r w:rsidR="00902740">
              <w:rPr>
                <w:rFonts w:ascii="Times New Roman" w:hAnsi="Times New Roman" w:cs="Times New Roman"/>
                <w:sz w:val="24"/>
              </w:rPr>
              <w:t>9</w:t>
            </w:r>
            <w:r w:rsidRPr="00196073">
              <w:rPr>
                <w:rFonts w:ascii="Times New Roman" w:hAnsi="Times New Roman" w:cs="Times New Roman"/>
                <w:sz w:val="24"/>
              </w:rPr>
              <w:t>,5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96073">
              <w:rPr>
                <w:rFonts w:ascii="Times New Roman" w:hAnsi="Times New Roman" w:cs="Times New Roman"/>
                <w:sz w:val="24"/>
              </w:rPr>
              <w:t>% (20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196073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196073" w14:paraId="77ED90CC" w14:textId="77777777" w:rsidTr="0048627C">
        <w:tc>
          <w:tcPr>
            <w:tcW w:w="3823" w:type="dxa"/>
            <w:vAlign w:val="center"/>
          </w:tcPr>
          <w:p w14:paraId="30CCAEA4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 xml:space="preserve">Stupanj recikliranja komunalnog otpada </w:t>
            </w:r>
          </w:p>
        </w:tc>
        <w:tc>
          <w:tcPr>
            <w:tcW w:w="1417" w:type="dxa"/>
            <w:vAlign w:val="center"/>
          </w:tcPr>
          <w:p w14:paraId="37549628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17,3</w:t>
            </w:r>
            <w:r w:rsidR="000E7F48">
              <w:rPr>
                <w:rFonts w:ascii="Times New Roman" w:hAnsi="Times New Roman" w:cs="Times New Roman"/>
                <w:sz w:val="24"/>
              </w:rPr>
              <w:t>0</w:t>
            </w:r>
            <w:r w:rsidRPr="00196073">
              <w:rPr>
                <w:rFonts w:ascii="Times New Roman" w:hAnsi="Times New Roman" w:cs="Times New Roman"/>
                <w:sz w:val="24"/>
              </w:rPr>
              <w:t>% (2019.)</w:t>
            </w:r>
          </w:p>
        </w:tc>
        <w:tc>
          <w:tcPr>
            <w:tcW w:w="1276" w:type="dxa"/>
            <w:vAlign w:val="center"/>
          </w:tcPr>
          <w:p w14:paraId="4311486F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40%</w:t>
            </w:r>
          </w:p>
        </w:tc>
        <w:tc>
          <w:tcPr>
            <w:tcW w:w="2546" w:type="dxa"/>
            <w:vAlign w:val="center"/>
          </w:tcPr>
          <w:p w14:paraId="0914A43E" w14:textId="07CF997B" w:rsidR="00196073" w:rsidRDefault="00902740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%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6073" w14:paraId="0601DAAC" w14:textId="77777777" w:rsidTr="0048627C">
        <w:tc>
          <w:tcPr>
            <w:tcW w:w="3823" w:type="dxa"/>
            <w:vAlign w:val="center"/>
          </w:tcPr>
          <w:p w14:paraId="6FD8DDBD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Finalna potrošnja energije u kućanstvima po stanovniku</w:t>
            </w:r>
          </w:p>
        </w:tc>
        <w:tc>
          <w:tcPr>
            <w:tcW w:w="1417" w:type="dxa"/>
            <w:vAlign w:val="center"/>
          </w:tcPr>
          <w:p w14:paraId="6DBF90C5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6,74 MWh (2018.)</w:t>
            </w:r>
          </w:p>
        </w:tc>
        <w:tc>
          <w:tcPr>
            <w:tcW w:w="1276" w:type="dxa"/>
            <w:vAlign w:val="center"/>
          </w:tcPr>
          <w:p w14:paraId="6921D22C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 xml:space="preserve">&lt; 6,4 MWh 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42BC9AFC" w14:textId="77777777" w:rsidR="00531B00" w:rsidRDefault="006970E6" w:rsidP="00427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  <w:r w:rsidR="00324F82" w:rsidRPr="00324F82">
              <w:rPr>
                <w:rFonts w:ascii="Times New Roman" w:hAnsi="Times New Roman" w:cs="Times New Roman"/>
                <w:sz w:val="24"/>
                <w:szCs w:val="24"/>
              </w:rPr>
              <w:t xml:space="preserve"> MWh</w:t>
            </w:r>
            <w:r w:rsidR="0048627C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2., </w:t>
            </w:r>
            <w:r w:rsidRPr="00531B00">
              <w:rPr>
                <w:rFonts w:ascii="Times New Roman" w:hAnsi="Times New Roman" w:cs="Times New Roman"/>
              </w:rPr>
              <w:t>ekstr</w:t>
            </w:r>
            <w:r w:rsidR="00531B00" w:rsidRPr="00531B00">
              <w:rPr>
                <w:rFonts w:ascii="Times New Roman" w:hAnsi="Times New Roman" w:cs="Times New Roman"/>
              </w:rPr>
              <w:t>apolir</w:t>
            </w:r>
            <w:r w:rsidRPr="00531B00">
              <w:rPr>
                <w:rFonts w:ascii="Times New Roman" w:hAnsi="Times New Roman" w:cs="Times New Roman"/>
              </w:rPr>
              <w:t xml:space="preserve">ano iz </w:t>
            </w:r>
          </w:p>
          <w:p w14:paraId="5188BE85" w14:textId="796F6D2F" w:rsidR="00196073" w:rsidRDefault="006970E6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0">
              <w:rPr>
                <w:rFonts w:ascii="Times New Roman" w:hAnsi="Times New Roman" w:cs="Times New Roman"/>
              </w:rPr>
              <w:t>podataka za RH</w:t>
            </w:r>
            <w:r w:rsidR="00486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02EB09C" w14:textId="77777777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A0605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28" w:name="_Toc128473038"/>
      <w:r>
        <w:t>6</w:t>
      </w:r>
      <w:r w:rsidRPr="00650F05">
        <w:t xml:space="preserve">.2. Opis napretka u provedbi posebnog cilja </w:t>
      </w:r>
      <w:r w:rsidR="00196073">
        <w:t>6</w:t>
      </w:r>
      <w:bookmarkEnd w:id="28"/>
      <w:r w:rsidRPr="00650F05">
        <w:t xml:space="preserve"> </w:t>
      </w:r>
    </w:p>
    <w:p w14:paraId="7C41FBF1" w14:textId="54E65A59" w:rsidR="00852A05" w:rsidRDefault="00175C80" w:rsidP="00F51D5F">
      <w:pPr>
        <w:pStyle w:val="Default"/>
        <w:spacing w:after="240" w:line="360" w:lineRule="auto"/>
        <w:jc w:val="both"/>
      </w:pPr>
      <w:r>
        <w:t xml:space="preserve">Ovaj posebni cilj se odnosi na izgradnju i unaprjeđenje komunalne infrastrukture radi unaprjeđenja kvalitete života, poput vodovoda, otpadnih voda, gospodarenja otpadom, opskrbe energijom, </w:t>
      </w:r>
      <w:proofErr w:type="spellStart"/>
      <w:r>
        <w:t>toplinarstva</w:t>
      </w:r>
      <w:proofErr w:type="spellEnd"/>
      <w:r>
        <w:t xml:space="preserve">, cestogradnje i slično. Među najvažnijim područjima je pitanje vodoopskrbe i odvodnje otpadnih voda, pri čemu podaci pokazuju da je </w:t>
      </w:r>
      <w:r w:rsidR="00902740">
        <w:t xml:space="preserve">čak </w:t>
      </w:r>
      <w:r>
        <w:t>9</w:t>
      </w:r>
      <w:r w:rsidR="00902740">
        <w:t>9</w:t>
      </w:r>
      <w:r>
        <w:t>,50% stanovnika priključeno na javni vodoopskrbni sustav. Kod odvodnje o</w:t>
      </w:r>
      <w:r w:rsidR="005C331D">
        <w:t xml:space="preserve">tpadnih voda je situacija nešto slabija, no u tijeku je nekoliko projekata unaprjeđenja </w:t>
      </w:r>
      <w:proofErr w:type="spellStart"/>
      <w:r w:rsidR="005C331D">
        <w:t>vodnokomunalne</w:t>
      </w:r>
      <w:proofErr w:type="spellEnd"/>
      <w:r w:rsidR="005C331D">
        <w:t xml:space="preserve"> infrastrukture u aglomeracijama na području OBŽ. </w:t>
      </w:r>
    </w:p>
    <w:p w14:paraId="4252D569" w14:textId="526B9061" w:rsidR="00F51D5F" w:rsidRDefault="005C331D" w:rsidP="00F51D5F">
      <w:pPr>
        <w:pStyle w:val="Default"/>
        <w:spacing w:after="240" w:line="360" w:lineRule="auto"/>
        <w:jc w:val="both"/>
      </w:pPr>
      <w:r>
        <w:t>Drugo važno područje tiče se u</w:t>
      </w:r>
      <w:r w:rsidR="00816A7E">
        <w:t>naprjeđenj</w:t>
      </w:r>
      <w:r>
        <w:t>a postojećeg</w:t>
      </w:r>
      <w:r w:rsidR="00816A7E">
        <w:t xml:space="preserve"> sustava gospodarenja komunalnim otpadom</w:t>
      </w:r>
      <w:r>
        <w:t xml:space="preserve">, u okviru kojeg je </w:t>
      </w:r>
      <w:r w:rsidR="00816A7E">
        <w:t>planira</w:t>
      </w:r>
      <w:r>
        <w:t>no</w:t>
      </w:r>
      <w:r w:rsidR="00816A7E">
        <w:t xml:space="preserve"> smanjenje ukupne količine proizvedenog komunalnog otpada, unaprjeđenj</w:t>
      </w:r>
      <w:r>
        <w:t>e</w:t>
      </w:r>
      <w:r w:rsidR="00816A7E">
        <w:t xml:space="preserve"> sustava za odvojeno sakupljanje, smanjenj</w:t>
      </w:r>
      <w:r>
        <w:t>e</w:t>
      </w:r>
      <w:r w:rsidR="00816A7E">
        <w:t xml:space="preserve"> udjela biootpada u komunalnom otpadu i količine otpada koji se odlaže na odlagališta te uspostave </w:t>
      </w:r>
      <w:r w:rsidR="00610413">
        <w:t xml:space="preserve">Regionalnog centra gospodarenja otpadom </w:t>
      </w:r>
      <w:proofErr w:type="spellStart"/>
      <w:r w:rsidR="00816A7E">
        <w:t>Orlovnjak</w:t>
      </w:r>
      <w:proofErr w:type="spellEnd"/>
      <w:r w:rsidR="00816A7E">
        <w:t xml:space="preserve"> kao okosnice za uspostavu cjelovitog sustava gospodarenja otpadom. </w:t>
      </w:r>
      <w:r w:rsidR="00BF0C0C" w:rsidRPr="00BF0C0C">
        <w:rPr>
          <w:color w:val="auto"/>
        </w:rPr>
        <w:t>U 2022. godini prema Izvješću o komunalnom otpadu Ministarstv</w:t>
      </w:r>
      <w:r w:rsidR="00BF0C0C">
        <w:rPr>
          <w:color w:val="auto"/>
        </w:rPr>
        <w:t>a</w:t>
      </w:r>
      <w:r w:rsidR="00BF0C0C" w:rsidRPr="00BF0C0C">
        <w:rPr>
          <w:color w:val="auto"/>
        </w:rPr>
        <w:t xml:space="preserve"> gospodarstva i održivog razvoja stopa recikliranja</w:t>
      </w:r>
      <w:r w:rsidR="00BF0C0C" w:rsidRPr="00BF0C0C">
        <w:rPr>
          <w:rStyle w:val="Referencafusnote"/>
          <w:color w:val="auto"/>
        </w:rPr>
        <w:footnoteReference w:id="2"/>
      </w:r>
      <w:r w:rsidR="00BF0C0C" w:rsidRPr="00BF0C0C">
        <w:rPr>
          <w:color w:val="auto"/>
        </w:rPr>
        <w:t xml:space="preserve"> komunalnog otpada za OBŽ iznosila</w:t>
      </w:r>
      <w:r w:rsidR="002B2CFB">
        <w:t xml:space="preserve"> je </w:t>
      </w:r>
      <w:r w:rsidR="00902740">
        <w:t>4</w:t>
      </w:r>
      <w:r w:rsidR="002B2CFB">
        <w:t>0%</w:t>
      </w:r>
      <w:r w:rsidR="00902740">
        <w:t xml:space="preserve"> (povećanje od 2,4% u odnosu na 2021. godinu)</w:t>
      </w:r>
      <w:r w:rsidR="002B2CFB">
        <w:t xml:space="preserve">, što </w:t>
      </w:r>
      <w:r w:rsidR="006970E6">
        <w:t xml:space="preserve">je blizu cilju Plana razvoja za 2027. godinu, ali </w:t>
      </w:r>
      <w:r>
        <w:t>nije na razini ispunjenja</w:t>
      </w:r>
      <w:r w:rsidR="00816A7E">
        <w:t xml:space="preserve"> cilja prema </w:t>
      </w:r>
      <w:r>
        <w:t>Planu gospodarenja otpadom Republike Hrvatske za razdoblje 2017.</w:t>
      </w:r>
      <w:r w:rsidR="00AC4318">
        <w:t xml:space="preserve"> </w:t>
      </w:r>
      <w:r>
        <w:t>-</w:t>
      </w:r>
      <w:r w:rsidR="00AC4318">
        <w:t xml:space="preserve"> </w:t>
      </w:r>
      <w:r>
        <w:t xml:space="preserve">2022. godine </w:t>
      </w:r>
      <w:r w:rsidR="00816A7E">
        <w:t xml:space="preserve">(60% mase proizvedenog komunalnog otpada). Za ostvarenje cilja potrebna je infrastruktura koja potiče i olakšava odvojeno prikupljanje. </w:t>
      </w:r>
      <w:r w:rsidR="00610413">
        <w:t xml:space="preserve">Smanjenje količine </w:t>
      </w:r>
      <w:r w:rsidR="00610413">
        <w:lastRenderedPageBreak/>
        <w:t>otpada koja se u OBŽ odlaže na odlagalište smanjit će se provedbom Projekta izgradnje</w:t>
      </w:r>
      <w:r w:rsidR="00816A7E">
        <w:t xml:space="preserve"> </w:t>
      </w:r>
      <w:r w:rsidR="00610413">
        <w:t>RCGO</w:t>
      </w:r>
      <w:r w:rsidR="002B2CFB">
        <w:t xml:space="preserve"> </w:t>
      </w:r>
      <w:proofErr w:type="spellStart"/>
      <w:r w:rsidR="002B2CFB">
        <w:t>Orlovnjak</w:t>
      </w:r>
      <w:proofErr w:type="spellEnd"/>
      <w:r w:rsidR="002B2CFB">
        <w:t>, za koji su se u 202</w:t>
      </w:r>
      <w:r w:rsidR="00902740">
        <w:t>3</w:t>
      </w:r>
      <w:r w:rsidR="002B2CFB">
        <w:t>. godini radile izmjene i dopune</w:t>
      </w:r>
      <w:r w:rsidR="00F51D5F">
        <w:t xml:space="preserve"> Studijsko-projektne dokumentacije radi usklađivanja s ciljevima kružnog gospodarstva i prilagodbe kriterijima prihvatljivosti za sufinanciranje iz </w:t>
      </w:r>
      <w:r w:rsidR="00610413">
        <w:t xml:space="preserve">novog </w:t>
      </w:r>
      <w:r w:rsidR="00F51D5F">
        <w:t>EU pro</w:t>
      </w:r>
      <w:r w:rsidR="002B2CFB">
        <w:t xml:space="preserve">računskog razdoblja. </w:t>
      </w:r>
      <w:r w:rsidR="00610413">
        <w:t>Predviđeni projekt planira se (su)financirati sredstvima OP Konkurentnost i kohezija 2021.</w:t>
      </w:r>
      <w:r w:rsidR="00005E7A">
        <w:t xml:space="preserve"> </w:t>
      </w:r>
      <w:r w:rsidR="00610413">
        <w:t>-</w:t>
      </w:r>
      <w:r w:rsidR="00005E7A">
        <w:t xml:space="preserve"> </w:t>
      </w:r>
      <w:r w:rsidR="00610413">
        <w:t>2027</w:t>
      </w:r>
      <w:r w:rsidR="002B2CFB">
        <w:t>.</w:t>
      </w:r>
    </w:p>
    <w:p w14:paraId="3832CFAD" w14:textId="5CAA3A20" w:rsidR="002C14F5" w:rsidRDefault="002C14F5" w:rsidP="00F51D5F">
      <w:pPr>
        <w:pStyle w:val="Default"/>
        <w:spacing w:after="240" w:line="360" w:lineRule="auto"/>
        <w:jc w:val="both"/>
      </w:pPr>
      <w:r>
        <w:t xml:space="preserve">Kada je riječ o energetskom sektoru, podaci pokazuju da je u OBŽ </w:t>
      </w:r>
      <w:r w:rsidRPr="0048627C">
        <w:t xml:space="preserve">finalna potrošnja energije u kućanstvima po stanovniku iznosila </w:t>
      </w:r>
      <w:r w:rsidR="006970E6" w:rsidRPr="006970E6">
        <w:t>6,97</w:t>
      </w:r>
      <w:r w:rsidR="0048627C" w:rsidRPr="006970E6">
        <w:t xml:space="preserve"> MWh</w:t>
      </w:r>
      <w:r w:rsidR="00E16209">
        <w:t xml:space="preserve">. Podatak se odnosi na 2022. godinu te je ekstrapoliran iz podataka o ukupnoj potrošnji energije u RH, sukladno broju kućanstava i stanovnika (Popis stanovništva 2021.) te se može smatrati približnim, s obzirom da razvijeniji dijelovi države troše više energije u odnosu na manje razvijene. </w:t>
      </w:r>
      <w:r>
        <w:t xml:space="preserve">U području </w:t>
      </w:r>
      <w:r w:rsidR="0032554C">
        <w:t xml:space="preserve">energetike </w:t>
      </w:r>
      <w:r>
        <w:t xml:space="preserve">OBŽ planira </w:t>
      </w:r>
      <w:r w:rsidR="00E16209">
        <w:t xml:space="preserve">pratiti </w:t>
      </w:r>
      <w:r>
        <w:t>nastavak istraživanja geotermalnog potencijala</w:t>
      </w:r>
      <w:r w:rsidR="006126AF">
        <w:t xml:space="preserve"> za što je već izrađena studijsko-tehnička dokumentacija, </w:t>
      </w:r>
      <w:r w:rsidR="0032554C">
        <w:t xml:space="preserve">što će </w:t>
      </w:r>
      <w:r w:rsidR="006126AF">
        <w:t>ovis</w:t>
      </w:r>
      <w:r w:rsidR="0032554C">
        <w:t>iti</w:t>
      </w:r>
      <w:r w:rsidR="006126AF">
        <w:t xml:space="preserve"> o interesu investitora i mogućnostima sufinanciranja</w:t>
      </w:r>
      <w:r w:rsidR="00E16209">
        <w:t xml:space="preserve"> te odlukama Agencije za ugljikovodike</w:t>
      </w:r>
      <w:r>
        <w:t xml:space="preserve">. </w:t>
      </w:r>
    </w:p>
    <w:p w14:paraId="370B87B6" w14:textId="77777777" w:rsidR="00593AA2" w:rsidRDefault="005C159F" w:rsidP="00F51D5F">
      <w:pPr>
        <w:pStyle w:val="Default"/>
        <w:spacing w:after="240" w:line="360" w:lineRule="auto"/>
        <w:jc w:val="both"/>
      </w:pPr>
      <w:r>
        <w:t xml:space="preserve">Pored navedenog, OBŽ ulaže i u </w:t>
      </w:r>
      <w:r w:rsidR="002C14F5">
        <w:t>drug</w:t>
      </w:r>
      <w:r>
        <w:t>u</w:t>
      </w:r>
      <w:r w:rsidR="002C14F5">
        <w:t xml:space="preserve"> infrastruktur</w:t>
      </w:r>
      <w:r>
        <w:t>u</w:t>
      </w:r>
      <w:r w:rsidR="002C14F5">
        <w:t xml:space="preserve"> značajn</w:t>
      </w:r>
      <w:r>
        <w:t>u</w:t>
      </w:r>
      <w:r w:rsidR="002C14F5">
        <w:t xml:space="preserve"> za kvalitetu života građana</w:t>
      </w:r>
      <w:r w:rsidR="00F37349">
        <w:t>.</w:t>
      </w:r>
      <w:r w:rsidR="00E16209">
        <w:t xml:space="preserve"> </w:t>
      </w:r>
      <w:r w:rsidR="00F37349">
        <w:t>T</w:t>
      </w:r>
      <w:r w:rsidR="00BE528C">
        <w:t xml:space="preserve">ijekom 2023. godine nastavljen je razvoj i unaprjeđenje komunalne i društvene infrastrukture </w:t>
      </w:r>
      <w:r w:rsidR="00593AA2">
        <w:t>u vidu</w:t>
      </w:r>
      <w:r w:rsidR="00BE528C">
        <w:t xml:space="preserve"> </w:t>
      </w:r>
      <w:r w:rsidR="00593AA2">
        <w:t>ulaganja u</w:t>
      </w:r>
      <w:r w:rsidR="00BE528C">
        <w:t xml:space="preserve"> rekonstrukciju i izgradnju Sportskog centra u </w:t>
      </w:r>
      <w:proofErr w:type="spellStart"/>
      <w:r w:rsidR="00BE528C">
        <w:t>Jurjevcu</w:t>
      </w:r>
      <w:proofErr w:type="spellEnd"/>
      <w:r w:rsidR="00BE528C">
        <w:t xml:space="preserve"> </w:t>
      </w:r>
      <w:proofErr w:type="spellStart"/>
      <w:r w:rsidR="00BE528C">
        <w:t>Punitovačkom</w:t>
      </w:r>
      <w:proofErr w:type="spellEnd"/>
      <w:r w:rsidR="00BE528C">
        <w:t xml:space="preserve">, izgradnju Doma kulture u </w:t>
      </w:r>
      <w:proofErr w:type="spellStart"/>
      <w:r w:rsidR="00BE528C">
        <w:t>Ladimirevcima</w:t>
      </w:r>
      <w:proofErr w:type="spellEnd"/>
      <w:r w:rsidR="00BE528C">
        <w:t>,</w:t>
      </w:r>
      <w:r w:rsidR="00593AA2">
        <w:t xml:space="preserve"> u</w:t>
      </w:r>
      <w:r w:rsidR="00BE528C">
        <w:t xml:space="preserve"> Centar Industrijske zone Našice, itd. </w:t>
      </w:r>
    </w:p>
    <w:p w14:paraId="00E739D6" w14:textId="0161A007" w:rsidR="002C14F5" w:rsidRPr="00E16209" w:rsidRDefault="00E16209" w:rsidP="00F51D5F">
      <w:pPr>
        <w:pStyle w:val="Default"/>
        <w:spacing w:after="240" w:line="360" w:lineRule="auto"/>
        <w:jc w:val="both"/>
        <w:rPr>
          <w:color w:val="auto"/>
          <w:sz w:val="36"/>
          <w:szCs w:val="36"/>
        </w:rPr>
      </w:pPr>
      <w:r>
        <w:t>Također,</w:t>
      </w:r>
      <w:r w:rsidR="002C14F5">
        <w:t xml:space="preserve"> u 202</w:t>
      </w:r>
      <w:r>
        <w:t>3</w:t>
      </w:r>
      <w:r w:rsidR="002C14F5">
        <w:t xml:space="preserve">. godini </w:t>
      </w:r>
      <w:r>
        <w:t xml:space="preserve">su Hrvatske željeznice završile </w:t>
      </w:r>
      <w:r w:rsidR="002C14F5">
        <w:t xml:space="preserve">uređenje željezničkog Kolodvora Osijek za ukupno </w:t>
      </w:r>
      <w:r>
        <w:t>4</w:t>
      </w:r>
      <w:r w:rsidR="002C14F5">
        <w:t xml:space="preserve"> milijuna eura</w:t>
      </w:r>
      <w:r w:rsidR="007F3E56">
        <w:t>.</w:t>
      </w:r>
      <w:r>
        <w:t xml:space="preserve"> </w:t>
      </w:r>
      <w:r w:rsidR="00BA3D7B">
        <w:t>Izgrađen je i pušten u promet podvožnjak u Ulici sv. Leopolda Bogdana Mandića u Osijeku vrijedan 12,4 milijuna eura.</w:t>
      </w:r>
    </w:p>
    <w:p w14:paraId="7B9678D0" w14:textId="550EBB47" w:rsidR="008A7E73" w:rsidRDefault="008A7E73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6 utrošeno </w:t>
      </w:r>
      <w:r w:rsidR="009E6FA8" w:rsidRPr="009E6FA8">
        <w:t xml:space="preserve">608.643,49 </w:t>
      </w:r>
      <w:r w:rsidR="009E6FA8">
        <w:t xml:space="preserve">eura </w:t>
      </w:r>
      <w:r w:rsidR="009E6FA8" w:rsidRPr="009E6FA8">
        <w:t>(4.585.824,38</w:t>
      </w:r>
      <w:r w:rsidR="009E6FA8">
        <w:t xml:space="preserve"> kuna</w:t>
      </w:r>
      <w:r w:rsidR="009E6FA8" w:rsidRPr="009E6FA8">
        <w:t>)</w:t>
      </w:r>
      <w:r>
        <w:t>.</w:t>
      </w:r>
    </w:p>
    <w:p w14:paraId="56A5BC92" w14:textId="77777777" w:rsidR="00945E62" w:rsidRPr="001049FC" w:rsidRDefault="00945E62" w:rsidP="00945E62">
      <w:pPr>
        <w:pStyle w:val="Default"/>
        <w:spacing w:after="240" w:line="360" w:lineRule="auto"/>
        <w:outlineLvl w:val="1"/>
        <w:rPr>
          <w:b/>
          <w:bCs/>
        </w:rPr>
      </w:pPr>
      <w:bookmarkStart w:id="29" w:name="_Toc128473039"/>
      <w:bookmarkStart w:id="30" w:name="_Hlk159422222"/>
      <w:bookmarkEnd w:id="21"/>
      <w:bookmarkEnd w:id="26"/>
      <w:r w:rsidRPr="001049FC">
        <w:rPr>
          <w:b/>
          <w:bCs/>
        </w:rPr>
        <w:t xml:space="preserve">7. </w:t>
      </w:r>
      <w:r w:rsidR="00196073" w:rsidRPr="001049FC">
        <w:rPr>
          <w:b/>
          <w:bCs/>
        </w:rPr>
        <w:t>Razvoj i unaprjeđenje održive mobilnosti</w:t>
      </w:r>
      <w:bookmarkEnd w:id="29"/>
      <w:r w:rsidRPr="001049FC">
        <w:rPr>
          <w:b/>
          <w:bCs/>
        </w:rPr>
        <w:t xml:space="preserve"> </w:t>
      </w:r>
    </w:p>
    <w:p w14:paraId="2F40145E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31" w:name="_Toc128473040"/>
      <w:r>
        <w:t>7</w:t>
      </w:r>
      <w:r w:rsidRPr="00650F05">
        <w:t>.</w:t>
      </w:r>
      <w:r>
        <w:t>1</w:t>
      </w:r>
      <w:r w:rsidRPr="00650F05">
        <w:t>. Ostvarene vrijednosti pokazatelja ishoda</w:t>
      </w:r>
      <w:bookmarkEnd w:id="3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979"/>
      </w:tblGrid>
      <w:tr w:rsidR="00945E62" w14:paraId="56849A77" w14:textId="77777777" w:rsidTr="00196073">
        <w:tc>
          <w:tcPr>
            <w:tcW w:w="3823" w:type="dxa"/>
            <w:vAlign w:val="center"/>
          </w:tcPr>
          <w:p w14:paraId="485A2022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701" w:type="dxa"/>
            <w:vAlign w:val="center"/>
          </w:tcPr>
          <w:p w14:paraId="448F84DA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59" w:type="dxa"/>
            <w:vAlign w:val="center"/>
          </w:tcPr>
          <w:p w14:paraId="50E88A7E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1979" w:type="dxa"/>
            <w:vAlign w:val="center"/>
          </w:tcPr>
          <w:p w14:paraId="0415E1D0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196073" w14:paraId="01204562" w14:textId="77777777" w:rsidTr="00C0009D">
        <w:tc>
          <w:tcPr>
            <w:tcW w:w="3823" w:type="dxa"/>
            <w:vAlign w:val="center"/>
          </w:tcPr>
          <w:p w14:paraId="3826A005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Udio korisnika prometnih sredstava koji koriste OIE u odnosu na ukupni broj korisnika javnog prijevoza</w:t>
            </w:r>
          </w:p>
        </w:tc>
        <w:tc>
          <w:tcPr>
            <w:tcW w:w="1701" w:type="dxa"/>
            <w:vAlign w:val="center"/>
          </w:tcPr>
          <w:p w14:paraId="3CD5C306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61% (2020.)</w:t>
            </w:r>
          </w:p>
        </w:tc>
        <w:tc>
          <w:tcPr>
            <w:tcW w:w="1559" w:type="dxa"/>
            <w:vAlign w:val="center"/>
          </w:tcPr>
          <w:p w14:paraId="6FA78389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&gt; 80%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86E0E1E" w14:textId="23735572" w:rsidR="00196073" w:rsidRDefault="009E6FA8" w:rsidP="000F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podatak za 2023. nije dostupan</w:t>
            </w:r>
          </w:p>
        </w:tc>
      </w:tr>
      <w:tr w:rsidR="00196073" w14:paraId="46C04AE5" w14:textId="77777777" w:rsidTr="0042775F">
        <w:tc>
          <w:tcPr>
            <w:tcW w:w="3823" w:type="dxa"/>
            <w:vAlign w:val="center"/>
          </w:tcPr>
          <w:p w14:paraId="4E1261B8" w14:textId="77777777" w:rsidR="00196073" w:rsidRPr="00196073" w:rsidRDefault="00196073" w:rsidP="00FF66BD">
            <w:pPr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Broj prometnih nesreća</w:t>
            </w:r>
          </w:p>
        </w:tc>
        <w:tc>
          <w:tcPr>
            <w:tcW w:w="1701" w:type="dxa"/>
            <w:vAlign w:val="center"/>
          </w:tcPr>
          <w:p w14:paraId="323BB4A0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2.057 (2019.)</w:t>
            </w:r>
          </w:p>
        </w:tc>
        <w:tc>
          <w:tcPr>
            <w:tcW w:w="1559" w:type="dxa"/>
            <w:vAlign w:val="center"/>
          </w:tcPr>
          <w:p w14:paraId="378D28D4" w14:textId="77777777" w:rsidR="00196073" w:rsidRPr="00196073" w:rsidRDefault="00196073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073">
              <w:rPr>
                <w:rFonts w:ascii="Times New Roman" w:hAnsi="Times New Roman" w:cs="Times New Roman"/>
                <w:sz w:val="24"/>
              </w:rPr>
              <w:t>&lt; 1.850</w:t>
            </w:r>
          </w:p>
        </w:tc>
        <w:tc>
          <w:tcPr>
            <w:tcW w:w="1979" w:type="dxa"/>
            <w:vAlign w:val="center"/>
          </w:tcPr>
          <w:p w14:paraId="3D642A87" w14:textId="595402DD" w:rsidR="00196073" w:rsidRDefault="000E7F48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E52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BE5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73CAA91B" w14:textId="77777777" w:rsidR="0048627C" w:rsidRDefault="0048627C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996FD0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32" w:name="_Toc128473041"/>
      <w:r>
        <w:lastRenderedPageBreak/>
        <w:t>7</w:t>
      </w:r>
      <w:r w:rsidRPr="00650F05">
        <w:t xml:space="preserve">.2. Opis napretka u provedbi posebnog cilja </w:t>
      </w:r>
      <w:r w:rsidR="00196073">
        <w:t>7</w:t>
      </w:r>
      <w:bookmarkEnd w:id="32"/>
      <w:r w:rsidRPr="00650F05">
        <w:t xml:space="preserve"> </w:t>
      </w:r>
    </w:p>
    <w:p w14:paraId="629C9272" w14:textId="1F13E7FF" w:rsidR="00FD70AA" w:rsidRDefault="007F3E56" w:rsidP="00945E62">
      <w:pPr>
        <w:pStyle w:val="Default"/>
        <w:spacing w:after="240" w:line="360" w:lineRule="auto"/>
        <w:jc w:val="both"/>
      </w:pPr>
      <w:r>
        <w:t>Promet je okosnica za ostvarenje slobodnog kretanja osoba, usluga i robe te uvelike doprinosi svim gospodarskim i društvenim aktivnostima. OBŽ kroz posebni cilj 7 planira ulagati u unaprjeđenje sigurnosti i razvoj održivog prometnog i transportnog sustava, razvoj i unaprjeđenje čistog, učinkovitog i pristupačnog javnog prijevoza prelaskom na održivu i pametnu mobilnost te razvoj integriranog javnog prijevoza. U tom smislu ohrabruje podatak o smanjenju broj prometnih nesreća u 202</w:t>
      </w:r>
      <w:r w:rsidR="002A212E">
        <w:t>3</w:t>
      </w:r>
      <w:r>
        <w:t>. godini</w:t>
      </w:r>
      <w:r w:rsidR="00FD70AA">
        <w:t xml:space="preserve"> za </w:t>
      </w:r>
      <w:r w:rsidR="002A212E">
        <w:t>7</w:t>
      </w:r>
      <w:r w:rsidR="00FD70AA">
        <w:t>%</w:t>
      </w:r>
      <w:r>
        <w:t xml:space="preserve"> u odnosu na početnu vrijednost. </w:t>
      </w:r>
    </w:p>
    <w:p w14:paraId="2F2703E4" w14:textId="045EF3F2" w:rsidR="007F3E56" w:rsidRDefault="00FD70AA" w:rsidP="00945E62">
      <w:pPr>
        <w:pStyle w:val="Default"/>
        <w:spacing w:after="240" w:line="360" w:lineRule="auto"/>
        <w:jc w:val="both"/>
      </w:pPr>
      <w:r>
        <w:t>U ovom području, p</w:t>
      </w:r>
      <w:r w:rsidR="007F3E56">
        <w:t xml:space="preserve">rioritetne aktivnosti tiču se izgradnje suvremenih kolnika na svim cestama, dogradnje, rekonstrukcije i jačanja postojeće cestovne mreže, održavanja i izgradnje pješačko-biciklističkih staza, održavanja, obnove i modernizacije željezničke infrastrukture i poticanja prelaska s cestovnog na željeznički promet, izgradnje i uređenja vodnih putova i održavanja i izgradnje nove infrastrukture te konačno tehničkog, tehnološkog i sigurnosnog unaprjeđenja i gradnje novih građevina i površina s ciljem povećanja kapaciteta i razine usluge u postojećim zračnim lukama na području OBŽ. </w:t>
      </w:r>
      <w:r>
        <w:rPr>
          <w:rFonts w:eastAsia="Times New Roman"/>
          <w:lang w:eastAsia="hr-HR"/>
        </w:rPr>
        <w:t xml:space="preserve">Među najvažnijim strateškim projektima u OBŽ nalazi se rekonstrukcija i proširenje Zračne luke Osijek, </w:t>
      </w:r>
      <w:r w:rsidR="00BE528C">
        <w:rPr>
          <w:rFonts w:eastAsia="Times New Roman"/>
          <w:lang w:eastAsia="hr-HR"/>
        </w:rPr>
        <w:t>koja je</w:t>
      </w:r>
      <w:r w:rsidR="00BE528C">
        <w:t xml:space="preserve"> potpisala ugovor u rujnu 2023. godine o g</w:t>
      </w:r>
      <w:r w:rsidR="00BE528C" w:rsidRPr="00E16209">
        <w:rPr>
          <w:color w:val="auto"/>
          <w:shd w:val="clear" w:color="auto" w:fill="FFFFFF"/>
        </w:rPr>
        <w:t>radnj</w:t>
      </w:r>
      <w:r w:rsidR="00BE528C">
        <w:rPr>
          <w:color w:val="auto"/>
          <w:shd w:val="clear" w:color="auto" w:fill="FFFFFF"/>
        </w:rPr>
        <w:t>i</w:t>
      </w:r>
      <w:r w:rsidR="00BE528C" w:rsidRPr="00E16209">
        <w:rPr>
          <w:color w:val="auto"/>
          <w:shd w:val="clear" w:color="auto" w:fill="FFFFFF"/>
        </w:rPr>
        <w:t xml:space="preserve"> putničkog terminala</w:t>
      </w:r>
      <w:r w:rsidR="00BE528C">
        <w:rPr>
          <w:color w:val="auto"/>
          <w:shd w:val="clear" w:color="auto" w:fill="FFFFFF"/>
        </w:rPr>
        <w:t xml:space="preserve"> </w:t>
      </w:r>
      <w:r w:rsidR="00BE528C">
        <w:rPr>
          <w:rFonts w:eastAsia="Times New Roman"/>
          <w:lang w:eastAsia="hr-HR"/>
        </w:rPr>
        <w:t xml:space="preserve">uz investiciju više od 9 milijuna </w:t>
      </w:r>
      <w:r w:rsidR="002A212E">
        <w:rPr>
          <w:rFonts w:eastAsia="Times New Roman"/>
          <w:lang w:eastAsia="hr-HR"/>
        </w:rPr>
        <w:t>eura</w:t>
      </w:r>
      <w:r w:rsidR="00BE528C">
        <w:rPr>
          <w:rFonts w:eastAsia="Times New Roman"/>
          <w:lang w:eastAsia="hr-HR"/>
        </w:rPr>
        <w:t xml:space="preserve"> </w:t>
      </w:r>
      <w:r w:rsidR="00BE528C" w:rsidRPr="007F3E56">
        <w:rPr>
          <w:rFonts w:eastAsia="Times New Roman"/>
          <w:lang w:eastAsia="hr-HR"/>
        </w:rPr>
        <w:t>Ministarstva mora, prometa i infrastrukture</w:t>
      </w:r>
      <w:r w:rsidR="00BE528C">
        <w:rPr>
          <w:rFonts w:eastAsia="Times New Roman"/>
          <w:lang w:eastAsia="hr-HR"/>
        </w:rPr>
        <w:t xml:space="preserve">. Projekt </w:t>
      </w:r>
      <w:r w:rsidR="00BE528C">
        <w:rPr>
          <w:color w:val="auto"/>
          <w:shd w:val="clear" w:color="auto" w:fill="FFFFFF"/>
        </w:rPr>
        <w:t xml:space="preserve">će trajati dvije godine čime </w:t>
      </w:r>
      <w:r w:rsidR="00BE528C" w:rsidRPr="00E16209">
        <w:rPr>
          <w:color w:val="auto"/>
          <w:shd w:val="clear" w:color="auto" w:fill="FFFFFF"/>
        </w:rPr>
        <w:t>će se osigurat</w:t>
      </w:r>
      <w:r w:rsidR="00BE528C">
        <w:rPr>
          <w:color w:val="auto"/>
          <w:shd w:val="clear" w:color="auto" w:fill="FFFFFF"/>
        </w:rPr>
        <w:t>i</w:t>
      </w:r>
      <w:r w:rsidR="00BE528C" w:rsidRPr="00E16209">
        <w:rPr>
          <w:color w:val="auto"/>
          <w:shd w:val="clear" w:color="auto" w:fill="FFFFFF"/>
        </w:rPr>
        <w:t xml:space="preserve"> sigurnosno-prometn</w:t>
      </w:r>
      <w:r w:rsidR="00BE528C">
        <w:rPr>
          <w:color w:val="auto"/>
          <w:shd w:val="clear" w:color="auto" w:fill="FFFFFF"/>
        </w:rPr>
        <w:t>i</w:t>
      </w:r>
      <w:r w:rsidR="00BE528C" w:rsidRPr="00E16209">
        <w:rPr>
          <w:color w:val="auto"/>
          <w:shd w:val="clear" w:color="auto" w:fill="FFFFFF"/>
        </w:rPr>
        <w:t xml:space="preserve"> standard</w:t>
      </w:r>
      <w:r w:rsidR="00BE528C">
        <w:rPr>
          <w:color w:val="auto"/>
          <w:shd w:val="clear" w:color="auto" w:fill="FFFFFF"/>
        </w:rPr>
        <w:t>i</w:t>
      </w:r>
      <w:r w:rsidR="00BE528C" w:rsidRPr="00E16209">
        <w:rPr>
          <w:color w:val="auto"/>
          <w:shd w:val="clear" w:color="auto" w:fill="FFFFFF"/>
        </w:rPr>
        <w:t xml:space="preserve">, udovoljiti </w:t>
      </w:r>
      <w:proofErr w:type="spellStart"/>
      <w:r w:rsidR="00BE528C" w:rsidRPr="00E16209">
        <w:rPr>
          <w:color w:val="auto"/>
          <w:shd w:val="clear" w:color="auto" w:fill="FFFFFF"/>
        </w:rPr>
        <w:t>schengensk</w:t>
      </w:r>
      <w:r w:rsidR="00BE528C">
        <w:rPr>
          <w:color w:val="auto"/>
          <w:shd w:val="clear" w:color="auto" w:fill="FFFFFF"/>
        </w:rPr>
        <w:t>i</w:t>
      </w:r>
      <w:proofErr w:type="spellEnd"/>
      <w:r w:rsidR="00BE528C" w:rsidRPr="00E16209">
        <w:rPr>
          <w:color w:val="auto"/>
          <w:shd w:val="clear" w:color="auto" w:fill="FFFFFF"/>
        </w:rPr>
        <w:t xml:space="preserve"> režim upravljanja granicama te osigurati energetsk</w:t>
      </w:r>
      <w:r w:rsidR="00BE528C">
        <w:rPr>
          <w:color w:val="auto"/>
          <w:shd w:val="clear" w:color="auto" w:fill="FFFFFF"/>
        </w:rPr>
        <w:t>a</w:t>
      </w:r>
      <w:r w:rsidR="00BE528C" w:rsidRPr="00E16209">
        <w:rPr>
          <w:color w:val="auto"/>
          <w:shd w:val="clear" w:color="auto" w:fill="FFFFFF"/>
        </w:rPr>
        <w:t xml:space="preserve"> učinkovitost.</w:t>
      </w:r>
      <w:r w:rsidR="00BE528C">
        <w:rPr>
          <w:color w:val="auto"/>
          <w:shd w:val="clear" w:color="auto" w:fill="FFFFFF"/>
        </w:rPr>
        <w:t xml:space="preserve"> </w:t>
      </w:r>
      <w:r>
        <w:t>Isto tako</w:t>
      </w:r>
      <w:r w:rsidRPr="007F3E56">
        <w:t xml:space="preserve">, Grad Osijek je definirao idejno rješenje za izgradnju garaže </w:t>
      </w:r>
      <w:proofErr w:type="spellStart"/>
      <w:r w:rsidRPr="007F3E56">
        <w:t>Hornwerk</w:t>
      </w:r>
      <w:proofErr w:type="spellEnd"/>
      <w:r w:rsidRPr="007F3E56">
        <w:t xml:space="preserve"> u Osijeku.</w:t>
      </w:r>
    </w:p>
    <w:p w14:paraId="396943B1" w14:textId="2534E85A" w:rsidR="00FD70AA" w:rsidRDefault="007F3E56" w:rsidP="00945E62">
      <w:pPr>
        <w:pStyle w:val="Default"/>
        <w:spacing w:after="240" w:line="360" w:lineRule="auto"/>
        <w:jc w:val="both"/>
      </w:pPr>
      <w:r>
        <w:t xml:space="preserve">Transformacija sektora prometa jedan je od ključnih elemenata </w:t>
      </w:r>
      <w:proofErr w:type="spellStart"/>
      <w:r>
        <w:t>niskougljičnog</w:t>
      </w:r>
      <w:proofErr w:type="spellEnd"/>
      <w:r>
        <w:t xml:space="preserve"> razvoja. Javni prijevoz potrebno je temeljiti na naprednim i optimalnim sustavima (unaprjeđenje dostupnosti sredstava prijevoza izgradnjom autobusnih stajališta i kolodvora, jačanje kapaciteta tramvajskog prometa i sl.), čiju srž čine tračnički sustavi (vlakovi, tramvaji) zbog ekoloških, energetskih i infrastrukturnih prednosti.</w:t>
      </w:r>
      <w:r w:rsidR="00FD70AA">
        <w:t xml:space="preserve"> Grad Osijek </w:t>
      </w:r>
      <w:r w:rsidR="00065CA4">
        <w:t xml:space="preserve">je </w:t>
      </w:r>
      <w:r w:rsidR="00FD70AA">
        <w:t xml:space="preserve">pokrenuo </w:t>
      </w:r>
      <w:r w:rsidR="00065CA4">
        <w:t>35,4 milijuna eura (</w:t>
      </w:r>
      <w:r w:rsidR="00FD70AA">
        <w:t xml:space="preserve">267 milijuna kuna) vrijedan infrastrukturni projekt modernizacije javnog prijevoza (od čega </w:t>
      </w:r>
      <w:r w:rsidR="00065CA4">
        <w:t>je</w:t>
      </w:r>
      <w:r w:rsidR="00FD70AA">
        <w:t xml:space="preserve"> iz fondova EU</w:t>
      </w:r>
      <w:r w:rsidR="00065CA4">
        <w:t xml:space="preserve"> sufinancirano 75%</w:t>
      </w:r>
      <w:r w:rsidR="00FD70AA">
        <w:t xml:space="preserve">). U okviru projekta će se modernizirati kontaktna mreža i dvije ispravljačke stanice te izgraditi jedna nova, kao i 23 tramvajske stanice. </w:t>
      </w:r>
      <w:r w:rsidR="002A212E">
        <w:t xml:space="preserve">S obzirom na </w:t>
      </w:r>
      <w:r w:rsidR="00065CA4">
        <w:t>to</w:t>
      </w:r>
      <w:r w:rsidR="002A212E">
        <w:t>, podatak o udjelu</w:t>
      </w:r>
      <w:r w:rsidR="002A212E" w:rsidRPr="00196073">
        <w:t xml:space="preserve"> korisnika prometnih sredstava koji koriste </w:t>
      </w:r>
      <w:r w:rsidR="002A212E">
        <w:t>obnovljive izvore energije</w:t>
      </w:r>
      <w:r w:rsidR="002A212E" w:rsidRPr="00196073">
        <w:t xml:space="preserve"> u odnosu na ukupni broj korisnika javnog prijevoza</w:t>
      </w:r>
      <w:r w:rsidR="002A212E">
        <w:t xml:space="preserve"> nije bio dostupan u 2023. godin</w:t>
      </w:r>
      <w:r w:rsidR="00065CA4">
        <w:t>i</w:t>
      </w:r>
      <w:r w:rsidR="002A212E">
        <w:t>, budući da je tramvajski promet obustavljen do rujna 2024. godine.</w:t>
      </w:r>
    </w:p>
    <w:p w14:paraId="0ED278E8" w14:textId="6D3C3D20" w:rsidR="008A7E73" w:rsidRDefault="008A7E73" w:rsidP="00945E62">
      <w:pPr>
        <w:pStyle w:val="Default"/>
        <w:spacing w:after="240" w:line="360" w:lineRule="auto"/>
        <w:jc w:val="both"/>
      </w:pPr>
      <w:r>
        <w:lastRenderedPageBreak/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7 utrošeno </w:t>
      </w:r>
      <w:r w:rsidR="00065CA4" w:rsidRPr="00065CA4">
        <w:t xml:space="preserve">202.720,01 </w:t>
      </w:r>
      <w:r w:rsidR="00065CA4">
        <w:t>eura</w:t>
      </w:r>
      <w:r w:rsidR="00065CA4" w:rsidRPr="00065CA4">
        <w:t xml:space="preserve"> (1.527.393,92</w:t>
      </w:r>
      <w:r w:rsidR="00065CA4">
        <w:t xml:space="preserve"> kuna</w:t>
      </w:r>
      <w:r w:rsidR="00065CA4" w:rsidRPr="00065CA4">
        <w:t>)</w:t>
      </w:r>
      <w:r>
        <w:t>.</w:t>
      </w:r>
    </w:p>
    <w:p w14:paraId="3B7524F6" w14:textId="77777777" w:rsidR="00945E62" w:rsidRPr="001049FC" w:rsidRDefault="00945E62" w:rsidP="00945E62">
      <w:pPr>
        <w:pStyle w:val="Default"/>
        <w:spacing w:after="240" w:line="360" w:lineRule="auto"/>
        <w:outlineLvl w:val="1"/>
        <w:rPr>
          <w:b/>
          <w:bCs/>
        </w:rPr>
      </w:pPr>
      <w:bookmarkStart w:id="33" w:name="_Toc128473042"/>
      <w:bookmarkStart w:id="34" w:name="_Hlk159423333"/>
      <w:bookmarkEnd w:id="30"/>
      <w:r w:rsidRPr="001049FC">
        <w:rPr>
          <w:b/>
          <w:bCs/>
        </w:rPr>
        <w:t xml:space="preserve">8. </w:t>
      </w:r>
      <w:r w:rsidR="00C60AF9" w:rsidRPr="001049FC">
        <w:rPr>
          <w:b/>
          <w:bCs/>
        </w:rPr>
        <w:t>Jačanje kapaciteta, spremnosti i otpornosti zajednice na rizike</w:t>
      </w:r>
      <w:bookmarkEnd w:id="33"/>
      <w:r w:rsidRPr="001049FC">
        <w:rPr>
          <w:b/>
          <w:bCs/>
        </w:rPr>
        <w:t xml:space="preserve"> </w:t>
      </w:r>
    </w:p>
    <w:p w14:paraId="1817D28D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35" w:name="_Toc128473043"/>
      <w:r>
        <w:t>8</w:t>
      </w:r>
      <w:r w:rsidRPr="00650F05">
        <w:t>.</w:t>
      </w:r>
      <w:r>
        <w:t>1</w:t>
      </w:r>
      <w:r w:rsidRPr="00650F05">
        <w:t>. Ostvarene vrijednosti pokazatelja ishoda</w:t>
      </w:r>
      <w:bookmarkEnd w:id="35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2268"/>
      </w:tblGrid>
      <w:tr w:rsidR="00945E62" w14:paraId="6EC99DE6" w14:textId="77777777" w:rsidTr="00384F0B">
        <w:tc>
          <w:tcPr>
            <w:tcW w:w="3114" w:type="dxa"/>
            <w:vAlign w:val="center"/>
          </w:tcPr>
          <w:p w14:paraId="64F53540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126" w:type="dxa"/>
            <w:vAlign w:val="center"/>
          </w:tcPr>
          <w:p w14:paraId="2E08C3C6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701" w:type="dxa"/>
            <w:vAlign w:val="center"/>
          </w:tcPr>
          <w:p w14:paraId="214B4F82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268" w:type="dxa"/>
            <w:vAlign w:val="center"/>
          </w:tcPr>
          <w:p w14:paraId="6135FA21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065CA4" w14:paraId="63BB151E" w14:textId="77777777" w:rsidTr="00384F0B">
        <w:tc>
          <w:tcPr>
            <w:tcW w:w="3114" w:type="dxa"/>
            <w:vAlign w:val="center"/>
          </w:tcPr>
          <w:p w14:paraId="47BB7F8F" w14:textId="77777777" w:rsidR="00065CA4" w:rsidRPr="00C60AF9" w:rsidRDefault="00065CA4" w:rsidP="00065CA4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Rashodi za civilnu zaštitu, po stanovniku</w:t>
            </w:r>
          </w:p>
        </w:tc>
        <w:tc>
          <w:tcPr>
            <w:tcW w:w="2126" w:type="dxa"/>
            <w:vAlign w:val="center"/>
          </w:tcPr>
          <w:p w14:paraId="7F19664A" w14:textId="4F78656C" w:rsidR="00065CA4" w:rsidRPr="00065CA4" w:rsidRDefault="00065CA4" w:rsidP="0006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sz w:val="24"/>
                <w:szCs w:val="24"/>
              </w:rPr>
              <w:t xml:space="preserve">10,54 HRK </w:t>
            </w:r>
            <w:r w:rsidRPr="00065CA4">
              <w:rPr>
                <w:rFonts w:ascii="Times New Roman" w:hAnsi="Times New Roman" w:cs="Times New Roman"/>
                <w:sz w:val="24"/>
                <w:szCs w:val="24"/>
              </w:rPr>
              <w:br/>
              <w:t>(1,4 EUR) (2020.)</w:t>
            </w:r>
          </w:p>
        </w:tc>
        <w:tc>
          <w:tcPr>
            <w:tcW w:w="1701" w:type="dxa"/>
            <w:vAlign w:val="center"/>
          </w:tcPr>
          <w:p w14:paraId="0C7620D1" w14:textId="5AFDBD96" w:rsidR="00065CA4" w:rsidRPr="00065CA4" w:rsidRDefault="00065CA4" w:rsidP="0006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sz w:val="24"/>
                <w:szCs w:val="24"/>
              </w:rPr>
              <w:t>&gt; 12 HRK</w:t>
            </w:r>
            <w:r w:rsidRPr="00065CA4">
              <w:rPr>
                <w:rFonts w:ascii="Times New Roman" w:hAnsi="Times New Roman" w:cs="Times New Roman"/>
                <w:sz w:val="24"/>
                <w:szCs w:val="24"/>
              </w:rPr>
              <w:br/>
              <w:t>(1,59 EUR)</w:t>
            </w:r>
          </w:p>
        </w:tc>
        <w:tc>
          <w:tcPr>
            <w:tcW w:w="2268" w:type="dxa"/>
            <w:vAlign w:val="center"/>
          </w:tcPr>
          <w:p w14:paraId="2AD5B630" w14:textId="5A8FEFF6" w:rsidR="00065CA4" w:rsidRPr="00065CA4" w:rsidRDefault="00065CA4" w:rsidP="0006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A4">
              <w:rPr>
                <w:rFonts w:ascii="Times New Roman" w:hAnsi="Times New Roman" w:cs="Times New Roman"/>
                <w:sz w:val="24"/>
                <w:szCs w:val="24"/>
              </w:rPr>
              <w:t>13,03 HRK</w:t>
            </w:r>
            <w:r w:rsidRPr="00065CA4">
              <w:rPr>
                <w:rFonts w:ascii="Times New Roman" w:hAnsi="Times New Roman" w:cs="Times New Roman"/>
                <w:sz w:val="24"/>
                <w:szCs w:val="24"/>
              </w:rPr>
              <w:br/>
              <w:t>(1</w:t>
            </w:r>
            <w:r w:rsidR="00517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CA4">
              <w:rPr>
                <w:rFonts w:ascii="Times New Roman" w:hAnsi="Times New Roman" w:cs="Times New Roman"/>
                <w:sz w:val="24"/>
                <w:szCs w:val="24"/>
              </w:rPr>
              <w:t>73 EUR)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(2023.)</w:t>
            </w:r>
          </w:p>
        </w:tc>
      </w:tr>
    </w:tbl>
    <w:p w14:paraId="1B261D42" w14:textId="77777777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D1C09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36" w:name="_Toc128473044"/>
      <w:r>
        <w:t>8</w:t>
      </w:r>
      <w:r w:rsidRPr="00650F05">
        <w:t xml:space="preserve">.2. Opis napretka u provedbi posebnog cilja </w:t>
      </w:r>
      <w:r w:rsidR="00C60AF9">
        <w:t>8</w:t>
      </w:r>
      <w:bookmarkEnd w:id="36"/>
      <w:r w:rsidRPr="00650F05">
        <w:t xml:space="preserve"> </w:t>
      </w:r>
    </w:p>
    <w:p w14:paraId="63693B71" w14:textId="38B147EC" w:rsidR="00191B17" w:rsidRDefault="00EF7D56" w:rsidP="00945E62">
      <w:pPr>
        <w:pStyle w:val="Default"/>
        <w:spacing w:after="240" w:line="360" w:lineRule="auto"/>
        <w:jc w:val="both"/>
      </w:pPr>
      <w:r>
        <w:t>Krizne situacije, kao što su pandemij</w:t>
      </w:r>
      <w:r w:rsidR="00065CA4">
        <w:t>a</w:t>
      </w:r>
      <w:r>
        <w:t xml:space="preserve">, potresi i elementarne nepogode povezane s klimatskim promjenama, ratna zbivanja, migracije stanovništva osobito prema zemljama EU i slično, ukazale su na potrebu jačanja cjelokupnog sustava prevencije i djelovanja u kriznim situacijama kako na nacionalnoj razini, tako i na području OBŽ. S obzirom da je </w:t>
      </w:r>
      <w:r w:rsidR="00191B17">
        <w:t>nužnost</w:t>
      </w:r>
      <w:r>
        <w:t xml:space="preserve"> unaprj</w:t>
      </w:r>
      <w:r w:rsidR="00191B17">
        <w:t>eđivanja</w:t>
      </w:r>
      <w:r>
        <w:t xml:space="preserve"> sustav</w:t>
      </w:r>
      <w:r w:rsidR="00191B17">
        <w:t>a</w:t>
      </w:r>
      <w:r>
        <w:t xml:space="preserve"> prevencije i djelovanja te umreženost</w:t>
      </w:r>
      <w:r w:rsidR="00191B17">
        <w:t>i</w:t>
      </w:r>
      <w:r>
        <w:t xml:space="preserve"> i koordiniranosti dionika s ciljem poboljšanja </w:t>
      </w:r>
      <w:proofErr w:type="spellStart"/>
      <w:r>
        <w:t>responzivnosti</w:t>
      </w:r>
      <w:proofErr w:type="spellEnd"/>
      <w:r>
        <w:t xml:space="preserve"> na krizne situacije</w:t>
      </w:r>
      <w:r w:rsidR="00191B17">
        <w:t>, pokazalo se da je već u prvoj godini provedbe premašena ciljna vrijednost odabranog pokazatelja ishoda</w:t>
      </w:r>
      <w:r w:rsidR="00065CA4">
        <w:t>, a isti trend nastavljen je i u 2023. godini</w:t>
      </w:r>
      <w:r>
        <w:t xml:space="preserve">. </w:t>
      </w:r>
    </w:p>
    <w:p w14:paraId="571A4467" w14:textId="7A9419CB" w:rsidR="00FB365B" w:rsidRDefault="00191B17" w:rsidP="00945E62">
      <w:pPr>
        <w:pStyle w:val="Default"/>
        <w:spacing w:after="240" w:line="360" w:lineRule="auto"/>
        <w:jc w:val="both"/>
      </w:pPr>
      <w:r>
        <w:t xml:space="preserve">Uz očekivana ulaganja u potrebe provedbe aktivnosti civilne zaštite, zaštite od požara, Vatrogasne zajednice Osječko-baranjske županije i drugih društava vezanih uz unaprjeđenje zaštite i sigurnosti, </w:t>
      </w:r>
      <w:r w:rsidR="00065CA4">
        <w:rPr>
          <w:rFonts w:eastAsia="Times New Roman"/>
          <w:bCs/>
          <w:lang w:eastAsia="hr-HR"/>
        </w:rPr>
        <w:t>o</w:t>
      </w:r>
      <w:r w:rsidR="00065CA4" w:rsidRPr="002D6EA7">
        <w:rPr>
          <w:rFonts w:eastAsia="Times New Roman"/>
          <w:bCs/>
          <w:lang w:eastAsia="hr-HR"/>
        </w:rPr>
        <w:t xml:space="preserve">sposobljeno </w:t>
      </w:r>
      <w:r w:rsidR="00065CA4">
        <w:rPr>
          <w:rFonts w:eastAsia="Times New Roman"/>
          <w:bCs/>
          <w:lang w:eastAsia="hr-HR"/>
        </w:rPr>
        <w:t xml:space="preserve">je </w:t>
      </w:r>
      <w:r w:rsidR="00065CA4" w:rsidRPr="002D6EA7">
        <w:rPr>
          <w:rFonts w:eastAsia="Times New Roman"/>
          <w:bCs/>
          <w:lang w:eastAsia="hr-HR"/>
        </w:rPr>
        <w:t>208 članova dobrovoljnih vatrogasnih društva i zaposlenika za zaštitu na radu</w:t>
      </w:r>
      <w:r>
        <w:rPr>
          <w:rStyle w:val="Naglaeno"/>
          <w:b w:val="0"/>
          <w:color w:val="auto"/>
          <w:szCs w:val="21"/>
          <w:shd w:val="clear" w:color="auto" w:fill="FFFFFF"/>
        </w:rPr>
        <w:t>,</w:t>
      </w:r>
      <w:r w:rsidR="00065CA4">
        <w:rPr>
          <w:rStyle w:val="Naglaeno"/>
          <w:b w:val="0"/>
          <w:color w:val="auto"/>
          <w:szCs w:val="21"/>
          <w:shd w:val="clear" w:color="auto" w:fill="FFFFFF"/>
        </w:rPr>
        <w:t xml:space="preserve"> a OBŽ je posvećen</w:t>
      </w:r>
      <w:r>
        <w:rPr>
          <w:color w:val="auto"/>
          <w:shd w:val="clear" w:color="auto" w:fill="FFFFFF"/>
        </w:rPr>
        <w:t xml:space="preserve"> </w:t>
      </w:r>
      <w:r w:rsidRPr="00191B17">
        <w:rPr>
          <w:color w:val="auto"/>
          <w:shd w:val="clear" w:color="auto" w:fill="FFFFFF"/>
        </w:rPr>
        <w:t>daljnje</w:t>
      </w:r>
      <w:r w:rsidR="00065CA4">
        <w:rPr>
          <w:color w:val="auto"/>
          <w:shd w:val="clear" w:color="auto" w:fill="FFFFFF"/>
        </w:rPr>
        <w:t>m</w:t>
      </w:r>
      <w:r w:rsidRPr="00191B17">
        <w:rPr>
          <w:color w:val="auto"/>
          <w:shd w:val="clear" w:color="auto" w:fill="FFFFFF"/>
        </w:rPr>
        <w:t xml:space="preserve"> jačanj</w:t>
      </w:r>
      <w:r w:rsidR="00065CA4">
        <w:rPr>
          <w:color w:val="auto"/>
          <w:shd w:val="clear" w:color="auto" w:fill="FFFFFF"/>
        </w:rPr>
        <w:t>u</w:t>
      </w:r>
      <w:r w:rsidRPr="00191B17">
        <w:rPr>
          <w:color w:val="auto"/>
          <w:shd w:val="clear" w:color="auto" w:fill="FFFFFF"/>
        </w:rPr>
        <w:t xml:space="preserve"> kapaciteta jedinica lokalne i područne samouprave za postupanje u izvanrednim situacijama</w:t>
      </w:r>
      <w:r>
        <w:rPr>
          <w:color w:val="auto"/>
          <w:shd w:val="clear" w:color="auto" w:fill="FFFFFF"/>
        </w:rPr>
        <w:t xml:space="preserve"> (poput prirodnih, ekoloških i tehničko-tehnoloških ka</w:t>
      </w:r>
      <w:r w:rsidR="00FB365B">
        <w:rPr>
          <w:color w:val="auto"/>
          <w:shd w:val="clear" w:color="auto" w:fill="FFFFFF"/>
        </w:rPr>
        <w:t>tastrofa)</w:t>
      </w:r>
      <w:r w:rsidRPr="00191B17">
        <w:rPr>
          <w:color w:val="auto"/>
          <w:shd w:val="clear" w:color="auto" w:fill="FFFFFF"/>
        </w:rPr>
        <w:t xml:space="preserve"> s ciljem zaštite ljudi i okoliša u pograničnom području.</w:t>
      </w:r>
    </w:p>
    <w:p w14:paraId="25BF01E8" w14:textId="4609908A" w:rsidR="008A7E73" w:rsidRDefault="008A7E73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8 utrošeno </w:t>
      </w:r>
      <w:r w:rsidR="00065CA4" w:rsidRPr="00065CA4">
        <w:t xml:space="preserve">442.476,54 </w:t>
      </w:r>
      <w:r w:rsidR="00065CA4">
        <w:t>eura</w:t>
      </w:r>
      <w:r w:rsidR="00065CA4" w:rsidRPr="00065CA4">
        <w:t xml:space="preserve"> (3.333.839,49</w:t>
      </w:r>
      <w:r w:rsidR="00065CA4">
        <w:t xml:space="preserve"> kuna</w:t>
      </w:r>
      <w:r w:rsidR="00065CA4" w:rsidRPr="00065CA4">
        <w:t>)</w:t>
      </w:r>
      <w:r>
        <w:t>.</w:t>
      </w:r>
    </w:p>
    <w:p w14:paraId="2DCFD49B" w14:textId="77777777" w:rsidR="001049FC" w:rsidRDefault="001049F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_Toc128473045"/>
      <w:bookmarkStart w:id="38" w:name="_Hlk159422526"/>
      <w:bookmarkEnd w:id="34"/>
      <w:r>
        <w:br w:type="page"/>
      </w:r>
    </w:p>
    <w:p w14:paraId="2BB8D6A2" w14:textId="33ED3325" w:rsidR="00945E62" w:rsidRPr="001049FC" w:rsidRDefault="00945E62" w:rsidP="00C43B3E">
      <w:pPr>
        <w:pStyle w:val="Default"/>
        <w:spacing w:after="240" w:line="360" w:lineRule="auto"/>
        <w:jc w:val="both"/>
        <w:outlineLvl w:val="1"/>
        <w:rPr>
          <w:b/>
          <w:bCs/>
        </w:rPr>
      </w:pPr>
      <w:r w:rsidRPr="001049FC">
        <w:rPr>
          <w:b/>
          <w:bCs/>
        </w:rPr>
        <w:lastRenderedPageBreak/>
        <w:t xml:space="preserve">9. </w:t>
      </w:r>
      <w:r w:rsidR="00C60AF9" w:rsidRPr="001049FC">
        <w:rPr>
          <w:b/>
          <w:bCs/>
        </w:rPr>
        <w:t>Razvoj i unaprjeđenje poslovnog okruženja te konkurentnosti i inovativnosti gospodarstva</w:t>
      </w:r>
      <w:bookmarkEnd w:id="37"/>
      <w:r w:rsidRPr="001049FC">
        <w:rPr>
          <w:b/>
          <w:bCs/>
        </w:rPr>
        <w:t xml:space="preserve"> </w:t>
      </w:r>
    </w:p>
    <w:p w14:paraId="6D0EC4EA" w14:textId="77777777" w:rsidR="00945E62" w:rsidRPr="00650F05" w:rsidRDefault="00945E62" w:rsidP="00C43B3E">
      <w:pPr>
        <w:pStyle w:val="Default"/>
        <w:spacing w:after="240" w:line="360" w:lineRule="auto"/>
        <w:jc w:val="both"/>
        <w:outlineLvl w:val="2"/>
      </w:pPr>
      <w:bookmarkStart w:id="39" w:name="_Toc128473046"/>
      <w:r>
        <w:t>9</w:t>
      </w:r>
      <w:r w:rsidRPr="00650F05">
        <w:t>.</w:t>
      </w:r>
      <w:r>
        <w:t>1</w:t>
      </w:r>
      <w:r w:rsidRPr="00650F05">
        <w:t>. Ostvarene vrijednosti pokazatelja ishoda</w:t>
      </w:r>
      <w:bookmarkEnd w:id="39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256"/>
        <w:gridCol w:w="1842"/>
        <w:gridCol w:w="1987"/>
        <w:gridCol w:w="2124"/>
      </w:tblGrid>
      <w:tr w:rsidR="00945E62" w14:paraId="4A26D388" w14:textId="77777777" w:rsidTr="00384F0B">
        <w:tc>
          <w:tcPr>
            <w:tcW w:w="3256" w:type="dxa"/>
            <w:vAlign w:val="center"/>
          </w:tcPr>
          <w:p w14:paraId="6AA52A75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842" w:type="dxa"/>
            <w:vAlign w:val="center"/>
          </w:tcPr>
          <w:p w14:paraId="5D5AC89B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987" w:type="dxa"/>
            <w:vAlign w:val="center"/>
          </w:tcPr>
          <w:p w14:paraId="7ECED70B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124" w:type="dxa"/>
            <w:vAlign w:val="center"/>
          </w:tcPr>
          <w:p w14:paraId="601CC10C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C60AF9" w14:paraId="415718D3" w14:textId="77777777" w:rsidTr="00384F0B">
        <w:tc>
          <w:tcPr>
            <w:tcW w:w="3256" w:type="dxa"/>
            <w:vAlign w:val="center"/>
          </w:tcPr>
          <w:p w14:paraId="4E8DF101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BDP po stanovniku prema paritetu kupovne moći (EU28=100)</w:t>
            </w:r>
          </w:p>
        </w:tc>
        <w:tc>
          <w:tcPr>
            <w:tcW w:w="1842" w:type="dxa"/>
            <w:vAlign w:val="center"/>
          </w:tcPr>
          <w:p w14:paraId="3663A315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 xml:space="preserve">47,5% (2021.) </w:t>
            </w:r>
          </w:p>
        </w:tc>
        <w:tc>
          <w:tcPr>
            <w:tcW w:w="1987" w:type="dxa"/>
            <w:vAlign w:val="center"/>
          </w:tcPr>
          <w:p w14:paraId="27742FCD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60%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056339A" w14:textId="0FBD2541" w:rsidR="00C60AF9" w:rsidRDefault="00324F82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% (2021.)</w:t>
            </w:r>
          </w:p>
          <w:p w14:paraId="2F5A96C7" w14:textId="7FEA486E" w:rsidR="00384F0B" w:rsidRDefault="00384F0B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novih podataka</w:t>
            </w:r>
          </w:p>
        </w:tc>
      </w:tr>
      <w:tr w:rsidR="00C60AF9" w14:paraId="4ED48F18" w14:textId="77777777" w:rsidTr="00384F0B">
        <w:tc>
          <w:tcPr>
            <w:tcW w:w="3256" w:type="dxa"/>
            <w:vAlign w:val="center"/>
          </w:tcPr>
          <w:p w14:paraId="456029E6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Udio zaposlenih u mikro, malim i srednjim poduzećima u ukupnom broju zaposlenih</w:t>
            </w:r>
          </w:p>
        </w:tc>
        <w:tc>
          <w:tcPr>
            <w:tcW w:w="1842" w:type="dxa"/>
            <w:vAlign w:val="center"/>
          </w:tcPr>
          <w:p w14:paraId="15342ED4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91,17% (2020.)</w:t>
            </w:r>
          </w:p>
        </w:tc>
        <w:tc>
          <w:tcPr>
            <w:tcW w:w="1987" w:type="dxa"/>
            <w:vAlign w:val="center"/>
          </w:tcPr>
          <w:p w14:paraId="0DF53F6E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93%</w:t>
            </w:r>
          </w:p>
        </w:tc>
        <w:tc>
          <w:tcPr>
            <w:tcW w:w="2124" w:type="dxa"/>
            <w:vAlign w:val="center"/>
          </w:tcPr>
          <w:p w14:paraId="148F0C38" w14:textId="4D971E56" w:rsidR="00C60AF9" w:rsidRDefault="000E7F48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E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(202</w:t>
            </w:r>
            <w:r w:rsidR="0038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84F0B" w14:paraId="593C885D" w14:textId="77777777" w:rsidTr="00384F0B">
        <w:tc>
          <w:tcPr>
            <w:tcW w:w="3256" w:type="dxa"/>
            <w:vAlign w:val="center"/>
          </w:tcPr>
          <w:p w14:paraId="4B8261E3" w14:textId="77777777" w:rsidR="00384F0B" w:rsidRPr="00C60AF9" w:rsidRDefault="00384F0B" w:rsidP="00384F0B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Izvoz dobara i usluga (u % BDP-a)</w:t>
            </w:r>
          </w:p>
        </w:tc>
        <w:tc>
          <w:tcPr>
            <w:tcW w:w="1842" w:type="dxa"/>
            <w:vAlign w:val="center"/>
          </w:tcPr>
          <w:p w14:paraId="63F216F5" w14:textId="7AECED17" w:rsidR="00384F0B" w:rsidRP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 xml:space="preserve">4.495,8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HRK (2020.)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(597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EUR)</w:t>
            </w:r>
          </w:p>
        </w:tc>
        <w:tc>
          <w:tcPr>
            <w:tcW w:w="1987" w:type="dxa"/>
            <w:vAlign w:val="center"/>
          </w:tcPr>
          <w:p w14:paraId="59679882" w14:textId="232EFCE3" w:rsidR="00384F0B" w:rsidRP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 xml:space="preserve">&gt; 7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HRK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(929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EUR)</w:t>
            </w:r>
          </w:p>
        </w:tc>
        <w:tc>
          <w:tcPr>
            <w:tcW w:w="2124" w:type="dxa"/>
            <w:vAlign w:val="center"/>
          </w:tcPr>
          <w:p w14:paraId="01014094" w14:textId="77777777" w:rsid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 xml:space="preserve">6.291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HRK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(835 </w:t>
            </w:r>
            <w:proofErr w:type="spellStart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. EUR)</w:t>
            </w:r>
          </w:p>
          <w:p w14:paraId="76529574" w14:textId="58565EBD" w:rsidR="00831E2F" w:rsidRPr="00384F0B" w:rsidRDefault="00831E2F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(2022.)</w:t>
            </w:r>
          </w:p>
        </w:tc>
      </w:tr>
      <w:tr w:rsidR="00384F0B" w14:paraId="0C1DD751" w14:textId="77777777" w:rsidTr="00384F0B">
        <w:tc>
          <w:tcPr>
            <w:tcW w:w="3256" w:type="dxa"/>
            <w:vAlign w:val="center"/>
          </w:tcPr>
          <w:p w14:paraId="02483021" w14:textId="77777777" w:rsidR="00384F0B" w:rsidRPr="00C60AF9" w:rsidRDefault="00384F0B" w:rsidP="00384F0B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Bruto investicije u intelektualnu imovinu</w:t>
            </w:r>
          </w:p>
        </w:tc>
        <w:tc>
          <w:tcPr>
            <w:tcW w:w="1842" w:type="dxa"/>
            <w:vAlign w:val="center"/>
          </w:tcPr>
          <w:p w14:paraId="266B1B63" w14:textId="55A0336C" w:rsidR="00384F0B" w:rsidRP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31.547.000 HRK (4.187.006,44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EUR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(2019.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7" w:type="dxa"/>
            <w:vAlign w:val="center"/>
          </w:tcPr>
          <w:p w14:paraId="76065DAF" w14:textId="4E73391F" w:rsidR="00384F0B" w:rsidRP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&gt; 50.000.000 HRK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br/>
              <w:t>(6.636.140,42 EUR)</w:t>
            </w:r>
          </w:p>
        </w:tc>
        <w:tc>
          <w:tcPr>
            <w:tcW w:w="2124" w:type="dxa"/>
            <w:vAlign w:val="center"/>
          </w:tcPr>
          <w:p w14:paraId="507DDF97" w14:textId="77777777" w:rsid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4F0B">
              <w:rPr>
                <w:rFonts w:ascii="Times New Roman" w:hAnsi="Times New Roman" w:cs="Times New Roman"/>
                <w:sz w:val="23"/>
                <w:szCs w:val="23"/>
              </w:rPr>
              <w:t>52.772.935,74 HRK</w:t>
            </w:r>
            <w:r w:rsidRPr="00384F0B">
              <w:rPr>
                <w:rFonts w:ascii="Times New Roman" w:hAnsi="Times New Roman" w:cs="Times New Roman"/>
                <w:sz w:val="23"/>
                <w:szCs w:val="23"/>
              </w:rPr>
              <w:br/>
              <w:t>(7.004.172,24 EUR)</w:t>
            </w:r>
          </w:p>
          <w:p w14:paraId="6D4506AC" w14:textId="12441BBC" w:rsidR="00384F0B" w:rsidRPr="00384F0B" w:rsidRDefault="00384F0B" w:rsidP="00384F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(2022.)</w:t>
            </w:r>
          </w:p>
        </w:tc>
      </w:tr>
    </w:tbl>
    <w:p w14:paraId="6FDA0861" w14:textId="77777777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8055CB" w14:textId="77777777" w:rsidR="00945E62" w:rsidRPr="00650F05" w:rsidRDefault="00945E62" w:rsidP="00C43B3E">
      <w:pPr>
        <w:pStyle w:val="Default"/>
        <w:spacing w:after="240" w:line="360" w:lineRule="auto"/>
        <w:jc w:val="both"/>
        <w:outlineLvl w:val="2"/>
      </w:pPr>
      <w:bookmarkStart w:id="40" w:name="_Toc128473047"/>
      <w:r>
        <w:t>9</w:t>
      </w:r>
      <w:r w:rsidRPr="00650F05">
        <w:t xml:space="preserve">.2. Opis napretka u provedbi posebnog cilja </w:t>
      </w:r>
      <w:r w:rsidR="00C60AF9">
        <w:t>9</w:t>
      </w:r>
      <w:bookmarkEnd w:id="40"/>
      <w:r w:rsidRPr="00650F05">
        <w:t xml:space="preserve"> </w:t>
      </w:r>
    </w:p>
    <w:p w14:paraId="48681D98" w14:textId="187F1986" w:rsidR="00F47A21" w:rsidRDefault="00F47A21" w:rsidP="00945E62">
      <w:pPr>
        <w:pStyle w:val="Default"/>
        <w:spacing w:after="240" w:line="360" w:lineRule="auto"/>
        <w:jc w:val="both"/>
      </w:pPr>
      <w:r>
        <w:t xml:space="preserve">Razvoj i unaprjeđenje poslovnog okruženja te konkurentnosti i inovativnosti gospodarstva OBŽ zasniva se na gospodarskim prednostima OBŽ poput poljoprivrede, prerađivačke industrije, turizma i informacijsko-komunikacijskih tehnologija. Podaci pokazuju </w:t>
      </w:r>
      <w:r w:rsidR="00384F0B">
        <w:t>značajan napredak u gotovo svim promatranim područjima te je tako u</w:t>
      </w:r>
      <w:r>
        <w:t xml:space="preserve"> prethodnom razdoblju porastao udio zaposlenih u mikro, malim i srednjim poduzećima u odnosu na ukupan broj zaposlenih, kao i da je porastao izvoz dobar</w:t>
      </w:r>
      <w:r w:rsidR="00C17E2B">
        <w:t>a</w:t>
      </w:r>
      <w:r>
        <w:t xml:space="preserve"> i usluga</w:t>
      </w:r>
      <w:r w:rsidR="00C17E2B">
        <w:t xml:space="preserve"> iz OBŽ za više od </w:t>
      </w:r>
      <w:r w:rsidR="00384F0B">
        <w:t>40% u razdoblju između 2020. i</w:t>
      </w:r>
      <w:r>
        <w:t xml:space="preserve"> 2022. godin</w:t>
      </w:r>
      <w:r w:rsidR="00384F0B">
        <w:t>e</w:t>
      </w:r>
      <w:r>
        <w:t xml:space="preserve">. </w:t>
      </w:r>
      <w:r w:rsidR="00384F0B">
        <w:t>Također, za razliku od podataka iz 2020. godine</w:t>
      </w:r>
      <w:r w:rsidR="00C17E2B">
        <w:t xml:space="preserve">, </w:t>
      </w:r>
      <w:r w:rsidR="00384F0B">
        <w:t xml:space="preserve">u 2022. su značajno povećane </w:t>
      </w:r>
      <w:r w:rsidR="00C17E2B">
        <w:t>bruto investicije u intelektualnu imovinu</w:t>
      </w:r>
      <w:r w:rsidR="00384F0B">
        <w:t xml:space="preserve"> te su premašile i ciljnu vrijednost očekivanu u 2027. godini</w:t>
      </w:r>
      <w:r w:rsidR="00C17E2B">
        <w:t>.</w:t>
      </w:r>
    </w:p>
    <w:p w14:paraId="5D4429AF" w14:textId="1F345F45" w:rsidR="00BD464C" w:rsidRDefault="00384F0B" w:rsidP="00945E62">
      <w:pPr>
        <w:pStyle w:val="Default"/>
        <w:spacing w:after="240" w:line="360" w:lineRule="auto"/>
        <w:jc w:val="both"/>
      </w:pPr>
      <w:r>
        <w:t>Noviji p</w:t>
      </w:r>
      <w:r w:rsidR="00324F82">
        <w:t xml:space="preserve">odatak o </w:t>
      </w:r>
      <w:r w:rsidR="00324F82" w:rsidRPr="00C60AF9">
        <w:t>BDP</w:t>
      </w:r>
      <w:r w:rsidR="00324F82">
        <w:t>-u</w:t>
      </w:r>
      <w:r w:rsidR="00324F82" w:rsidRPr="00C60AF9">
        <w:t xml:space="preserve"> po stanovniku prema paritetu kupovne moći </w:t>
      </w:r>
      <w:r w:rsidR="00324F82">
        <w:t>u odnosu na prosjek EU</w:t>
      </w:r>
      <w:r>
        <w:t xml:space="preserve"> nije dostupan te po njemu nije moguće ocjenjivati napredak u 2023. godini</w:t>
      </w:r>
      <w:r w:rsidR="00324F82">
        <w:t xml:space="preserve">.   </w:t>
      </w:r>
    </w:p>
    <w:p w14:paraId="1AFFF3C5" w14:textId="5CE33676" w:rsidR="00C17E2B" w:rsidRDefault="00C17E2B" w:rsidP="00945E62">
      <w:pPr>
        <w:pStyle w:val="Default"/>
        <w:spacing w:after="240" w:line="360" w:lineRule="auto"/>
        <w:jc w:val="both"/>
      </w:pPr>
      <w:r>
        <w:t>OBŽ u navedenim uvjetima radi na značajnim ulaganjima u novu poslovnu infrastrukturu izgradnjom Zgrade 1</w:t>
      </w:r>
      <w:r w:rsidR="006158FE">
        <w:t>.</w:t>
      </w:r>
      <w:r>
        <w:t xml:space="preserve"> Gospodars</w:t>
      </w:r>
      <w:r w:rsidR="00BD464C">
        <w:t xml:space="preserve">kog centra, kojom </w:t>
      </w:r>
      <w:r w:rsidR="00384F0B">
        <w:t>je</w:t>
      </w:r>
      <w:r w:rsidR="00BD464C">
        <w:t xml:space="preserve"> </w:t>
      </w:r>
      <w:r w:rsidR="00502396">
        <w:t xml:space="preserve">u 2023. godini </w:t>
      </w:r>
      <w:r w:rsidR="00BD464C">
        <w:t>županija dobi</w:t>
      </w:r>
      <w:r w:rsidR="00885BC3">
        <w:t>la</w:t>
      </w:r>
      <w:r w:rsidR="00BD464C">
        <w:t xml:space="preserve"> 5.000 m</w:t>
      </w:r>
      <w:r w:rsidR="00BD464C" w:rsidRPr="00502396">
        <w:rPr>
          <w:vertAlign w:val="superscript"/>
        </w:rPr>
        <w:t>2</w:t>
      </w:r>
      <w:r w:rsidR="00BD464C">
        <w:t xml:space="preserve"> zatvorenih sadržaja za razvoj poduzetništva i organizaciju događanja (izložbe, sajmovi) te pomoćne objekte i sadržaje. </w:t>
      </w:r>
      <w:r>
        <w:t>Cilj podizanj</w:t>
      </w:r>
      <w:r w:rsidR="00384F0B">
        <w:t>a</w:t>
      </w:r>
      <w:r>
        <w:t xml:space="preserve"> gospodarske vidljivosti regije i unaprjeđenj</w:t>
      </w:r>
      <w:r w:rsidR="00384F0B">
        <w:t>a</w:t>
      </w:r>
      <w:r>
        <w:t xml:space="preserve"> poduzetničke klime</w:t>
      </w:r>
      <w:r w:rsidR="00384F0B">
        <w:t xml:space="preserve"> već je postignut održavanjem niza manifestacija u novoizgrađenom </w:t>
      </w:r>
      <w:r w:rsidR="00384F0B">
        <w:lastRenderedPageBreak/>
        <w:t>objektu</w:t>
      </w:r>
      <w:r>
        <w:t>,</w:t>
      </w:r>
      <w:r w:rsidR="00384F0B">
        <w:t xml:space="preserve"> a budućim investicijama očekuje se </w:t>
      </w:r>
      <w:r>
        <w:t>razvoj novih proizvoda i usluga malih i srednjih poduzeća, razvoj usluga poduzetničkih potpornih institucija za mala i srednja poduzeća te razvoj mreže poslovnih komunikacija. Izgradnjom Gospodarskog centra osigura</w:t>
      </w:r>
      <w:r w:rsidR="00384F0B">
        <w:t>n</w:t>
      </w:r>
      <w:r>
        <w:t xml:space="preserve"> </w:t>
      </w:r>
      <w:r w:rsidR="00384F0B">
        <w:t>j</w:t>
      </w:r>
      <w:r>
        <w:t>e prostor za regionalne i međunarodne sajamske i druge manifestacije u svim granama gospodarstva gdje se izlažu, prezentiraju ili prodaju proizvodi, dobra i usluge te prostor za kongresna događanja.</w:t>
      </w:r>
      <w:r w:rsidR="00502396">
        <w:t xml:space="preserve"> Vrijednost projekta je 8,5 milijuna eura.</w:t>
      </w:r>
    </w:p>
    <w:p w14:paraId="5BB3B5D2" w14:textId="428F1EF3" w:rsidR="00F62934" w:rsidRDefault="00F62934" w:rsidP="00F62934">
      <w:pPr>
        <w:pStyle w:val="Default"/>
        <w:spacing w:after="240" w:line="360" w:lineRule="auto"/>
        <w:jc w:val="both"/>
      </w:pPr>
      <w:r>
        <w:t xml:space="preserve">Također, </w:t>
      </w:r>
      <w:r>
        <w:rPr>
          <w:bCs/>
          <w:lang w:eastAsia="hr-HR"/>
        </w:rPr>
        <w:t>završen</w:t>
      </w:r>
      <w:r>
        <w:rPr>
          <w:bCs/>
        </w:rPr>
        <w:t xml:space="preserve"> je projekt</w:t>
      </w:r>
      <w:r w:rsidRPr="004054FC">
        <w:rPr>
          <w:bCs/>
        </w:rPr>
        <w:t xml:space="preserve"> </w:t>
      </w:r>
      <w:r>
        <w:rPr>
          <w:bCs/>
        </w:rPr>
        <w:t>i</w:t>
      </w:r>
      <w:r w:rsidRPr="008C3713">
        <w:rPr>
          <w:bCs/>
          <w:lang w:eastAsia="hr-HR"/>
        </w:rPr>
        <w:t>zgradnj</w:t>
      </w:r>
      <w:r>
        <w:rPr>
          <w:bCs/>
          <w:lang w:eastAsia="hr-HR"/>
        </w:rPr>
        <w:t>e</w:t>
      </w:r>
      <w:r w:rsidRPr="008C3713">
        <w:rPr>
          <w:bCs/>
          <w:lang w:eastAsia="hr-HR"/>
        </w:rPr>
        <w:t xml:space="preserve"> komunalne infrastrukture u Industrijskoj zoni</w:t>
      </w:r>
      <w:r>
        <w:t xml:space="preserve"> Našice, ukupne vrijednosti </w:t>
      </w:r>
      <w:r w:rsidRPr="008C3713">
        <w:t>996.27</w:t>
      </w:r>
      <w:r>
        <w:t xml:space="preserve">6 eura čime su stvoreni </w:t>
      </w:r>
      <w:r w:rsidRPr="00281DBB">
        <w:t>uvjet</w:t>
      </w:r>
      <w:r>
        <w:t>i</w:t>
      </w:r>
      <w:r w:rsidRPr="00281DBB">
        <w:t xml:space="preserve"> za prihvat novih investitora i jačanje atraktivnosti i poduzetničke klime</w:t>
      </w:r>
      <w:r w:rsidR="00E17EC8">
        <w:t xml:space="preserve"> područja</w:t>
      </w:r>
      <w:r w:rsidRPr="00281DBB">
        <w:t xml:space="preserve"> Grada Našica.</w:t>
      </w:r>
    </w:p>
    <w:p w14:paraId="68379432" w14:textId="31FA19F1" w:rsidR="00DC22C2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9 utrošeno </w:t>
      </w:r>
      <w:r w:rsidR="00726C1E" w:rsidRPr="00726C1E">
        <w:t xml:space="preserve">20.247.743,26 </w:t>
      </w:r>
      <w:r w:rsidR="00726C1E">
        <w:t>eura</w:t>
      </w:r>
      <w:r w:rsidR="00726C1E" w:rsidRPr="00726C1E">
        <w:t xml:space="preserve"> (152.556.621,59</w:t>
      </w:r>
      <w:r w:rsidR="00726C1E">
        <w:t xml:space="preserve"> kuna</w:t>
      </w:r>
      <w:r w:rsidR="00726C1E" w:rsidRPr="00726C1E">
        <w:t>)</w:t>
      </w:r>
      <w:r>
        <w:t>.</w:t>
      </w:r>
    </w:p>
    <w:p w14:paraId="373D34E1" w14:textId="77777777" w:rsidR="00945E62" w:rsidRPr="001049FC" w:rsidRDefault="00945E62" w:rsidP="00376E2D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41" w:name="_Toc128473048"/>
      <w:bookmarkStart w:id="42" w:name="_Hlk159423179"/>
      <w:bookmarkEnd w:id="38"/>
      <w:r w:rsidRPr="001049FC">
        <w:rPr>
          <w:b/>
          <w:bCs/>
        </w:rPr>
        <w:t xml:space="preserve">10. </w:t>
      </w:r>
      <w:r w:rsidR="00C60AF9" w:rsidRPr="001049FC">
        <w:rPr>
          <w:b/>
          <w:bCs/>
        </w:rPr>
        <w:t>Podrška proizvodnji i preradi hrane u funkciji održivog regionalnog razvoja</w:t>
      </w:r>
      <w:bookmarkEnd w:id="41"/>
      <w:r w:rsidRPr="001049FC">
        <w:rPr>
          <w:b/>
          <w:bCs/>
        </w:rPr>
        <w:t xml:space="preserve"> </w:t>
      </w:r>
    </w:p>
    <w:p w14:paraId="42227919" w14:textId="77777777" w:rsidR="00945E62" w:rsidRPr="00650F05" w:rsidRDefault="00945E62" w:rsidP="00376E2D">
      <w:pPr>
        <w:pStyle w:val="Default"/>
        <w:spacing w:after="240" w:line="360" w:lineRule="auto"/>
        <w:jc w:val="both"/>
        <w:outlineLvl w:val="2"/>
      </w:pPr>
      <w:bookmarkStart w:id="43" w:name="_Toc128473049"/>
      <w:r>
        <w:t>10</w:t>
      </w:r>
      <w:r w:rsidRPr="00650F05">
        <w:t>.</w:t>
      </w:r>
      <w:r>
        <w:t>1</w:t>
      </w:r>
      <w:r w:rsidRPr="00650F05">
        <w:t>. Ostvarene vrijednosti pokazatelja ishoda</w:t>
      </w:r>
      <w:bookmarkEnd w:id="43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984"/>
      </w:tblGrid>
      <w:tr w:rsidR="00945E62" w14:paraId="2EF9C7A0" w14:textId="77777777" w:rsidTr="00A961BD">
        <w:tc>
          <w:tcPr>
            <w:tcW w:w="3256" w:type="dxa"/>
            <w:vAlign w:val="center"/>
          </w:tcPr>
          <w:p w14:paraId="3F8C9A5C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984" w:type="dxa"/>
            <w:vAlign w:val="center"/>
          </w:tcPr>
          <w:p w14:paraId="100A92F1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985" w:type="dxa"/>
            <w:vAlign w:val="center"/>
          </w:tcPr>
          <w:p w14:paraId="00B3E106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1984" w:type="dxa"/>
            <w:vAlign w:val="center"/>
          </w:tcPr>
          <w:p w14:paraId="0FCC62DF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A961BD" w14:paraId="3142AFFE" w14:textId="77777777" w:rsidTr="00A961BD">
        <w:tc>
          <w:tcPr>
            <w:tcW w:w="3256" w:type="dxa"/>
            <w:vAlign w:val="center"/>
          </w:tcPr>
          <w:p w14:paraId="3F6C1676" w14:textId="77777777" w:rsidR="00A961BD" w:rsidRPr="00C60AF9" w:rsidRDefault="00A961BD" w:rsidP="00A961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Dodana vrijednost proizvodnje hrane, pića i duhana</w:t>
            </w:r>
          </w:p>
        </w:tc>
        <w:tc>
          <w:tcPr>
            <w:tcW w:w="1984" w:type="dxa"/>
            <w:vAlign w:val="center"/>
          </w:tcPr>
          <w:p w14:paraId="7E56E4FC" w14:textId="1488F942" w:rsidR="00A961BD" w:rsidRDefault="00A961BD" w:rsidP="00A961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207.241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 (27.506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30A67A15" w14:textId="62662890" w:rsidR="00A961BD" w:rsidRPr="00A961BD" w:rsidRDefault="00A961BD" w:rsidP="00A961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(2020.)</w:t>
            </w:r>
          </w:p>
        </w:tc>
        <w:tc>
          <w:tcPr>
            <w:tcW w:w="1985" w:type="dxa"/>
            <w:vAlign w:val="center"/>
          </w:tcPr>
          <w:p w14:paraId="7DA64540" w14:textId="033E1AAC" w:rsidR="00A961BD" w:rsidRPr="00A961BD" w:rsidRDefault="00A961BD" w:rsidP="00A961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&gt; 300.000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(39.817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969DC" w14:textId="1F72694B" w:rsidR="00A961BD" w:rsidRDefault="00A961BD" w:rsidP="00A961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218.370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(28.983 </w:t>
            </w:r>
            <w:proofErr w:type="spellStart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mil</w:t>
            </w:r>
            <w:proofErr w:type="spellEnd"/>
            <w:r w:rsidRPr="00A961B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C11CE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A961B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6EBBAF58" w14:textId="1A6AC3BA" w:rsidR="00A961BD" w:rsidRPr="00A961BD" w:rsidRDefault="00A961BD" w:rsidP="00A961B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(2022.)</w:t>
            </w:r>
          </w:p>
        </w:tc>
      </w:tr>
      <w:tr w:rsidR="00C60AF9" w14:paraId="73C4EF8E" w14:textId="77777777" w:rsidTr="00A961BD">
        <w:tc>
          <w:tcPr>
            <w:tcW w:w="3256" w:type="dxa"/>
            <w:vAlign w:val="center"/>
          </w:tcPr>
          <w:p w14:paraId="666661D6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Ekološka proizvodnja usjeva</w:t>
            </w:r>
          </w:p>
        </w:tc>
        <w:tc>
          <w:tcPr>
            <w:tcW w:w="1984" w:type="dxa"/>
            <w:vAlign w:val="center"/>
          </w:tcPr>
          <w:p w14:paraId="00C44249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20.216 ha (2019.)</w:t>
            </w:r>
          </w:p>
        </w:tc>
        <w:tc>
          <w:tcPr>
            <w:tcW w:w="1985" w:type="dxa"/>
            <w:vAlign w:val="center"/>
          </w:tcPr>
          <w:p w14:paraId="042FA172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30.000 ha</w:t>
            </w:r>
          </w:p>
        </w:tc>
        <w:tc>
          <w:tcPr>
            <w:tcW w:w="1984" w:type="dxa"/>
            <w:vAlign w:val="center"/>
          </w:tcPr>
          <w:p w14:paraId="32514B5D" w14:textId="67C8F33A" w:rsidR="00C60AF9" w:rsidRDefault="00726C1E" w:rsidP="0037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E7F48" w:rsidRPr="000E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48" w:rsidRPr="000E7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F48" w:rsidRPr="000E7F48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6527010C" w14:textId="77777777" w:rsidR="00945E62" w:rsidRPr="00650F05" w:rsidRDefault="00945E62" w:rsidP="00376E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02584" w14:textId="7048C3F7" w:rsidR="00945E62" w:rsidRPr="00650F05" w:rsidRDefault="00945E62" w:rsidP="00376E2D">
      <w:pPr>
        <w:pStyle w:val="Default"/>
        <w:spacing w:after="240" w:line="360" w:lineRule="auto"/>
        <w:jc w:val="both"/>
        <w:outlineLvl w:val="2"/>
      </w:pPr>
      <w:bookmarkStart w:id="44" w:name="_Toc128473050"/>
      <w:r>
        <w:t>10</w:t>
      </w:r>
      <w:r w:rsidRPr="00650F05">
        <w:t>.2. Opis napretka u provedbi posebnog cilja 1</w:t>
      </w:r>
      <w:r w:rsidR="00C60AF9">
        <w:t>0</w:t>
      </w:r>
      <w:bookmarkEnd w:id="44"/>
      <w:r w:rsidRPr="00650F05">
        <w:t xml:space="preserve"> </w:t>
      </w:r>
    </w:p>
    <w:p w14:paraId="178C11F9" w14:textId="77777777" w:rsidR="007B3E4E" w:rsidRDefault="00376E2D" w:rsidP="00945E62">
      <w:pPr>
        <w:pStyle w:val="Default"/>
        <w:spacing w:after="240" w:line="360" w:lineRule="auto"/>
        <w:jc w:val="both"/>
      </w:pPr>
      <w:r>
        <w:t xml:space="preserve">Proizvodnja i prerada hrane jedna je od okosnica razvoja OBŽ za koju je nužno stvoriti infrastrukturnu i tehnološku osnovu za povećanje učinkovitosti, proizvodnju i preradu više dodane vrijednosti, čvrste lance vrijednosti i opskrbe te kvalitetnu, zdravu i sigurnu poljoprivredno-prehrambenu proizvodnju koja će biti ekološki održiva i otporna na klimatske promjene. </w:t>
      </w:r>
    </w:p>
    <w:p w14:paraId="739A28D6" w14:textId="4BF68238" w:rsidR="007B3E4E" w:rsidRDefault="007B3E4E" w:rsidP="00945E62">
      <w:pPr>
        <w:pStyle w:val="Default"/>
        <w:spacing w:after="240" w:line="360" w:lineRule="auto"/>
        <w:jc w:val="both"/>
      </w:pPr>
      <w:r>
        <w:t xml:space="preserve">Prema odabranim pokazateljima ishoda, vidljivo je da </w:t>
      </w:r>
      <w:r w:rsidR="00C0009D">
        <w:t>j</w:t>
      </w:r>
      <w:r>
        <w:t>e u OBŽ u 202</w:t>
      </w:r>
      <w:r w:rsidR="00726C1E">
        <w:t>2</w:t>
      </w:r>
      <w:r>
        <w:t xml:space="preserve">. godini </w:t>
      </w:r>
      <w:r w:rsidR="00726C1E">
        <w:t>povećana</w:t>
      </w:r>
      <w:r>
        <w:t xml:space="preserve"> dodana vrijednost proizvodnje hrane, pića i duhana u odnosu na početnu vrijednosti u 2020. godini, </w:t>
      </w:r>
      <w:r w:rsidR="00726C1E">
        <w:t>dok je</w:t>
      </w:r>
      <w:r>
        <w:t xml:space="preserve"> u istom</w:t>
      </w:r>
      <w:r w:rsidR="00726C1E">
        <w:t xml:space="preserve"> </w:t>
      </w:r>
      <w:r>
        <w:t xml:space="preserve">razdoblju </w:t>
      </w:r>
      <w:r w:rsidR="00726C1E">
        <w:t>smanje</w:t>
      </w:r>
      <w:r>
        <w:t>na ekološka proizvodnja usjeva</w:t>
      </w:r>
      <w:r w:rsidR="00726C1E">
        <w:t xml:space="preserve">, </w:t>
      </w:r>
      <w:r w:rsidR="00726C1E" w:rsidRPr="00CC3117">
        <w:t xml:space="preserve">moguće zbog poremećaja na tržištu posljednjih godina i </w:t>
      </w:r>
      <w:r w:rsidR="00354F28">
        <w:t>striktnosti</w:t>
      </w:r>
      <w:r w:rsidR="00726C1E" w:rsidRPr="00CC3117">
        <w:t xml:space="preserve"> sustav</w:t>
      </w:r>
      <w:r w:rsidR="00354F28">
        <w:t>a</w:t>
      </w:r>
      <w:r w:rsidR="00726C1E" w:rsidRPr="00CC3117">
        <w:t xml:space="preserve"> </w:t>
      </w:r>
      <w:r w:rsidR="00354F28">
        <w:t>certificiranja</w:t>
      </w:r>
      <w:r w:rsidR="00726C1E" w:rsidRPr="00CC3117">
        <w:t xml:space="preserve"> </w:t>
      </w:r>
      <w:r w:rsidR="00354F28">
        <w:t xml:space="preserve">ekološke </w:t>
      </w:r>
      <w:r w:rsidR="00726C1E" w:rsidRPr="00CC3117">
        <w:t>poljoprivredn</w:t>
      </w:r>
      <w:r w:rsidR="00354F28">
        <w:t>e</w:t>
      </w:r>
      <w:r w:rsidR="00726C1E" w:rsidRPr="00CC3117">
        <w:t xml:space="preserve"> proizvodnj</w:t>
      </w:r>
      <w:r w:rsidR="00354F28">
        <w:t>e</w:t>
      </w:r>
      <w:r w:rsidRPr="00CC3117">
        <w:t>.</w:t>
      </w:r>
    </w:p>
    <w:p w14:paraId="7C1DA076" w14:textId="7D787C73" w:rsidR="00137F49" w:rsidRDefault="007B3E4E" w:rsidP="00945E62">
      <w:pPr>
        <w:pStyle w:val="Default"/>
        <w:spacing w:after="240" w:line="360" w:lineRule="auto"/>
        <w:jc w:val="both"/>
      </w:pPr>
      <w:r>
        <w:lastRenderedPageBreak/>
        <w:t xml:space="preserve">S obzirom da </w:t>
      </w:r>
      <w:r w:rsidR="00693277">
        <w:t xml:space="preserve">je među prioritetima OBŽ </w:t>
      </w:r>
      <w:r>
        <w:t>u ovom području</w:t>
      </w:r>
      <w:r w:rsidR="00376E2D">
        <w:t xml:space="preserve"> </w:t>
      </w:r>
      <w:r w:rsidR="00693277">
        <w:t>istaknuto</w:t>
      </w:r>
      <w:r>
        <w:t xml:space="preserve"> </w:t>
      </w:r>
      <w:r w:rsidR="00376E2D">
        <w:t xml:space="preserve">pružanje podrške </w:t>
      </w:r>
      <w:r w:rsidR="00693277">
        <w:t>kod</w:t>
      </w:r>
      <w:r w:rsidR="00376E2D">
        <w:t xml:space="preserve"> ula</w:t>
      </w:r>
      <w:r w:rsidR="00693277">
        <w:t>s</w:t>
      </w:r>
      <w:r w:rsidR="00376E2D">
        <w:t>k</w:t>
      </w:r>
      <w:r w:rsidR="00693277">
        <w:t>a</w:t>
      </w:r>
      <w:r w:rsidR="00376E2D">
        <w:t xml:space="preserve"> u sektor prerade hrane radi dodavanja vrijednosti te jačanje tržišta i </w:t>
      </w:r>
      <w:r w:rsidR="00693277">
        <w:t xml:space="preserve">konkurentnosti cijelog sektora, u prethodnom razdoblju se radilo na </w:t>
      </w:r>
      <w:r w:rsidR="00376E2D">
        <w:t>stvaranj</w:t>
      </w:r>
      <w:r w:rsidR="00693277">
        <w:t>u</w:t>
      </w:r>
      <w:r w:rsidR="00376E2D">
        <w:t xml:space="preserve"> </w:t>
      </w:r>
      <w:r w:rsidR="00693277">
        <w:t>dijela</w:t>
      </w:r>
      <w:r w:rsidR="00376E2D">
        <w:t xml:space="preserve"> poljoprivredno-prerađivačke infrastrukture </w:t>
      </w:r>
      <w:r w:rsidR="00693277">
        <w:t xml:space="preserve">izgradnjom Regionalnog distribucijskog centra za voće i povrće, ukupne vrijednosti </w:t>
      </w:r>
      <w:r w:rsidR="0055195E">
        <w:t>110 milijuna kuna (</w:t>
      </w:r>
      <w:r w:rsidR="00693277" w:rsidRPr="0055195E">
        <w:t>1</w:t>
      </w:r>
      <w:r w:rsidR="0055195E" w:rsidRPr="0055195E">
        <w:t>4,6</w:t>
      </w:r>
      <w:r w:rsidR="00693277" w:rsidRPr="0055195E">
        <w:t xml:space="preserve"> milijuna </w:t>
      </w:r>
      <w:r w:rsidR="00693277">
        <w:t>eura</w:t>
      </w:r>
      <w:r w:rsidR="0055195E">
        <w:t>)</w:t>
      </w:r>
      <w:r w:rsidR="00693277">
        <w:t>, od čega je 10 milijuna eura sufinancirano iz Nacionalnog plana oporavka i otpornosti.</w:t>
      </w:r>
      <w:r w:rsidR="00376E2D">
        <w:t xml:space="preserve"> </w:t>
      </w:r>
      <w:r w:rsidR="00693277">
        <w:t>Distributivni</w:t>
      </w:r>
      <w:r w:rsidR="00376E2D">
        <w:t xml:space="preserve"> centar služi</w:t>
      </w:r>
      <w:r w:rsidR="00693277">
        <w:t xml:space="preserve"> kao središte za</w:t>
      </w:r>
      <w:r w:rsidR="00376E2D">
        <w:t xml:space="preserve"> umrežavanj</w:t>
      </w:r>
      <w:r w:rsidR="00693277">
        <w:t>e, pakiranje</w:t>
      </w:r>
      <w:r w:rsidR="00376E2D">
        <w:t>, prerad</w:t>
      </w:r>
      <w:r w:rsidR="00693277">
        <w:t>u</w:t>
      </w:r>
      <w:r w:rsidR="00376E2D">
        <w:t xml:space="preserve">, </w:t>
      </w:r>
      <w:proofErr w:type="spellStart"/>
      <w:r w:rsidR="00376E2D">
        <w:t>brendiranj</w:t>
      </w:r>
      <w:r w:rsidR="00693277">
        <w:t>e</w:t>
      </w:r>
      <w:proofErr w:type="spellEnd"/>
      <w:r w:rsidR="00376E2D">
        <w:t xml:space="preserve"> i distribucij</w:t>
      </w:r>
      <w:r w:rsidR="00693277">
        <w:t xml:space="preserve">u </w:t>
      </w:r>
      <w:r w:rsidR="00376E2D">
        <w:t xml:space="preserve">proizvoda, </w:t>
      </w:r>
      <w:r w:rsidR="00693277">
        <w:t xml:space="preserve">uz istovremeno </w:t>
      </w:r>
      <w:r w:rsidR="00376E2D">
        <w:t>jačanje proizvodnih organizacija</w:t>
      </w:r>
      <w:r w:rsidR="00137F49">
        <w:t xml:space="preserve"> koje će omogućiti proizvođačima da postanu konkurentniji na domaćem tržištu i stvoriti uvjete za izvoz prema tržištima EU-a i drugim tržištima. </w:t>
      </w:r>
      <w:r w:rsidR="00E57A3E">
        <w:rPr>
          <w:rFonts w:eastAsia="Times New Roman"/>
          <w:bCs/>
          <w:lang w:eastAsia="hr-HR"/>
        </w:rPr>
        <w:t>RDC je u 2023. godini</w:t>
      </w:r>
      <w:r w:rsidR="00E57A3E" w:rsidRPr="002D6EA7">
        <w:rPr>
          <w:rFonts w:eastAsia="Times New Roman"/>
          <w:bCs/>
          <w:lang w:eastAsia="hr-HR"/>
        </w:rPr>
        <w:t xml:space="preserve"> stavljen u funkciju na upravljanje tvrtki Regionalni distribucijski centar Osječko-baranjske županije za voće i povrće d.o.o. Osijek</w:t>
      </w:r>
      <w:r w:rsidR="00E57A3E">
        <w:rPr>
          <w:rFonts w:eastAsia="Times New Roman"/>
          <w:bCs/>
          <w:lang w:eastAsia="hr-HR"/>
        </w:rPr>
        <w:t>, a</w:t>
      </w:r>
      <w:r w:rsidR="00E57A3E" w:rsidRPr="002D6EA7">
        <w:rPr>
          <w:rFonts w:eastAsia="Times New Roman"/>
          <w:bCs/>
          <w:lang w:eastAsia="hr-HR"/>
        </w:rPr>
        <w:t xml:space="preserve"> postotak popunjenosti kapaciteta za skladištenje </w:t>
      </w:r>
      <w:r w:rsidR="00E57A3E">
        <w:rPr>
          <w:rFonts w:eastAsia="Times New Roman"/>
          <w:bCs/>
          <w:lang w:eastAsia="hr-HR"/>
        </w:rPr>
        <w:t>u prosincu 2023.</w:t>
      </w:r>
      <w:r w:rsidR="00E57A3E" w:rsidRPr="002D6EA7">
        <w:rPr>
          <w:rFonts w:eastAsia="Times New Roman"/>
          <w:bCs/>
          <w:lang w:eastAsia="hr-HR"/>
        </w:rPr>
        <w:t xml:space="preserve"> iznosi</w:t>
      </w:r>
      <w:r w:rsidR="00E57A3E">
        <w:rPr>
          <w:rFonts w:eastAsia="Times New Roman"/>
          <w:bCs/>
          <w:lang w:eastAsia="hr-HR"/>
        </w:rPr>
        <w:t>o je</w:t>
      </w:r>
      <w:r w:rsidR="00E57A3E" w:rsidRPr="002D6EA7">
        <w:rPr>
          <w:rFonts w:eastAsia="Times New Roman"/>
          <w:bCs/>
          <w:lang w:eastAsia="hr-HR"/>
        </w:rPr>
        <w:t xml:space="preserve"> 94%</w:t>
      </w:r>
      <w:r w:rsidR="00E57A3E">
        <w:rPr>
          <w:rFonts w:eastAsia="Times New Roman"/>
          <w:bCs/>
          <w:lang w:eastAsia="hr-HR"/>
        </w:rPr>
        <w:t xml:space="preserve">. </w:t>
      </w:r>
      <w:r w:rsidR="00137F49">
        <w:t xml:space="preserve">Na području OBŽ su također </w:t>
      </w:r>
      <w:r w:rsidR="00137F49" w:rsidRPr="00137F49">
        <w:t>izgra</w:t>
      </w:r>
      <w:r w:rsidR="00137F49">
        <w:t>đena</w:t>
      </w:r>
      <w:r w:rsidR="00137F49" w:rsidRPr="00137F49">
        <w:t xml:space="preserve"> </w:t>
      </w:r>
      <w:r w:rsidR="00E57A3E">
        <w:t>tri</w:t>
      </w:r>
      <w:r w:rsidR="00E57A3E" w:rsidRPr="00E57A3E">
        <w:t xml:space="preserve"> sustava navodnjavanja, jedan je u izgradnji</w:t>
      </w:r>
      <w:r w:rsidR="007C574A">
        <w:t>, a</w:t>
      </w:r>
      <w:r w:rsidR="00E57A3E" w:rsidRPr="00E57A3E">
        <w:t xml:space="preserve"> još jedan je u fazi sanacije</w:t>
      </w:r>
      <w:r w:rsidR="00786EC9">
        <w:rPr>
          <w:rFonts w:eastAsia="Calibri"/>
          <w:kern w:val="2"/>
          <w14:ligatures w14:val="standardContextual"/>
        </w:rPr>
        <w:t>.</w:t>
      </w:r>
    </w:p>
    <w:p w14:paraId="17A1BF7D" w14:textId="16E953FE" w:rsidR="00DC22C2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10 utrošeno </w:t>
      </w:r>
      <w:r w:rsidR="00E57A3E" w:rsidRPr="00E57A3E">
        <w:t xml:space="preserve">2.586.936,37 </w:t>
      </w:r>
      <w:r w:rsidR="00E57A3E">
        <w:t>eura</w:t>
      </w:r>
      <w:r w:rsidR="00E57A3E" w:rsidRPr="00E57A3E">
        <w:t xml:space="preserve"> (19.491.272,08</w:t>
      </w:r>
      <w:r w:rsidR="00E57A3E">
        <w:t xml:space="preserve"> kuna</w:t>
      </w:r>
      <w:r w:rsidR="00E57A3E" w:rsidRPr="00E57A3E">
        <w:t>)</w:t>
      </w:r>
      <w:r>
        <w:t>.</w:t>
      </w:r>
    </w:p>
    <w:p w14:paraId="333BD230" w14:textId="77777777" w:rsidR="00945E62" w:rsidRPr="001049FC" w:rsidRDefault="00945E62" w:rsidP="00D51313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45" w:name="_Toc128473051"/>
      <w:bookmarkStart w:id="46" w:name="_Hlk159422806"/>
      <w:bookmarkEnd w:id="42"/>
      <w:r w:rsidRPr="001049FC">
        <w:rPr>
          <w:b/>
          <w:bCs/>
        </w:rPr>
        <w:t xml:space="preserve">11. </w:t>
      </w:r>
      <w:r w:rsidR="00C60AF9" w:rsidRPr="001049FC">
        <w:rPr>
          <w:b/>
          <w:bCs/>
        </w:rPr>
        <w:t xml:space="preserve">Jačanje regionalne prepoznatljivosti putem </w:t>
      </w:r>
      <w:proofErr w:type="spellStart"/>
      <w:r w:rsidR="00C60AF9" w:rsidRPr="001049FC">
        <w:rPr>
          <w:b/>
          <w:bCs/>
        </w:rPr>
        <w:t>brendiranja</w:t>
      </w:r>
      <w:proofErr w:type="spellEnd"/>
      <w:r w:rsidR="00C60AF9" w:rsidRPr="001049FC">
        <w:rPr>
          <w:b/>
          <w:bCs/>
        </w:rPr>
        <w:t xml:space="preserve"> i promidžbe</w:t>
      </w:r>
      <w:bookmarkEnd w:id="45"/>
      <w:r w:rsidRPr="001049FC">
        <w:rPr>
          <w:b/>
          <w:bCs/>
        </w:rPr>
        <w:t xml:space="preserve"> </w:t>
      </w:r>
    </w:p>
    <w:p w14:paraId="18FB429F" w14:textId="77777777" w:rsidR="00945E62" w:rsidRPr="00650F05" w:rsidRDefault="00945E62" w:rsidP="00D51313">
      <w:pPr>
        <w:pStyle w:val="Default"/>
        <w:spacing w:after="240" w:line="360" w:lineRule="auto"/>
        <w:jc w:val="both"/>
        <w:outlineLvl w:val="2"/>
      </w:pPr>
      <w:bookmarkStart w:id="47" w:name="_Toc128473052"/>
      <w:r>
        <w:t>11</w:t>
      </w:r>
      <w:r w:rsidRPr="00650F05">
        <w:t>.</w:t>
      </w:r>
      <w:r>
        <w:t>1</w:t>
      </w:r>
      <w:r w:rsidRPr="00650F05">
        <w:t>. Ostvarene vrijednosti pokazatelja ishoda</w:t>
      </w:r>
      <w:bookmarkEnd w:id="47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45E62" w14:paraId="2274F809" w14:textId="77777777" w:rsidTr="007C574A">
        <w:tc>
          <w:tcPr>
            <w:tcW w:w="3256" w:type="dxa"/>
            <w:vAlign w:val="center"/>
          </w:tcPr>
          <w:p w14:paraId="7A3796AA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984" w:type="dxa"/>
            <w:vAlign w:val="center"/>
          </w:tcPr>
          <w:p w14:paraId="419BEDD8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843" w:type="dxa"/>
            <w:vAlign w:val="center"/>
          </w:tcPr>
          <w:p w14:paraId="16005B80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126" w:type="dxa"/>
            <w:vAlign w:val="center"/>
          </w:tcPr>
          <w:p w14:paraId="26C303C9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C60AF9" w14:paraId="5E2B6130" w14:textId="77777777" w:rsidTr="007C574A">
        <w:tc>
          <w:tcPr>
            <w:tcW w:w="3256" w:type="dxa"/>
            <w:vAlign w:val="center"/>
          </w:tcPr>
          <w:p w14:paraId="7C5C25B7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Noćenja u turističkim smještajnim objektima</w:t>
            </w:r>
          </w:p>
        </w:tc>
        <w:tc>
          <w:tcPr>
            <w:tcW w:w="1984" w:type="dxa"/>
            <w:vAlign w:val="center"/>
          </w:tcPr>
          <w:p w14:paraId="761FE360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 xml:space="preserve">234.121 (2019.) </w:t>
            </w:r>
          </w:p>
        </w:tc>
        <w:tc>
          <w:tcPr>
            <w:tcW w:w="1843" w:type="dxa"/>
            <w:vAlign w:val="center"/>
          </w:tcPr>
          <w:p w14:paraId="4062CA7E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400.000</w:t>
            </w:r>
          </w:p>
        </w:tc>
        <w:tc>
          <w:tcPr>
            <w:tcW w:w="2126" w:type="dxa"/>
            <w:vAlign w:val="center"/>
          </w:tcPr>
          <w:p w14:paraId="28FF1DEA" w14:textId="690D9C5B" w:rsidR="00C60AF9" w:rsidRDefault="007C574A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74A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C574A" w14:paraId="5FB07D32" w14:textId="77777777" w:rsidTr="007C574A">
        <w:tc>
          <w:tcPr>
            <w:tcW w:w="3256" w:type="dxa"/>
            <w:vAlign w:val="center"/>
          </w:tcPr>
          <w:p w14:paraId="413C5DB5" w14:textId="77777777" w:rsidR="007C574A" w:rsidRPr="00C60AF9" w:rsidRDefault="007C574A" w:rsidP="007C574A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Rashodi za kulturu JLP(R)S, po stanovniku</w:t>
            </w:r>
          </w:p>
        </w:tc>
        <w:tc>
          <w:tcPr>
            <w:tcW w:w="1984" w:type="dxa"/>
            <w:vAlign w:val="center"/>
          </w:tcPr>
          <w:p w14:paraId="589B2AC4" w14:textId="77777777" w:rsidR="007C574A" w:rsidRDefault="007C574A" w:rsidP="007C574A">
            <w:pPr>
              <w:jc w:val="center"/>
              <w:rPr>
                <w:rFonts w:ascii="Times New Roman" w:hAnsi="Times New Roman" w:cs="Times New Roman"/>
              </w:rPr>
            </w:pPr>
            <w:r w:rsidRPr="007C574A">
              <w:rPr>
                <w:rFonts w:ascii="Times New Roman" w:hAnsi="Times New Roman" w:cs="Times New Roman"/>
              </w:rPr>
              <w:t xml:space="preserve">71,51 HRK </w:t>
            </w:r>
          </w:p>
          <w:p w14:paraId="43E3B87A" w14:textId="2C64FD98" w:rsidR="007C574A" w:rsidRPr="007C574A" w:rsidRDefault="007C574A" w:rsidP="007C5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4A">
              <w:rPr>
                <w:rFonts w:ascii="Times New Roman" w:hAnsi="Times New Roman" w:cs="Times New Roman"/>
              </w:rPr>
              <w:t>(9,49 EUR)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74A">
              <w:rPr>
                <w:rFonts w:ascii="Times New Roman" w:hAnsi="Times New Roman" w:cs="Times New Roman"/>
              </w:rPr>
              <w:t>(2020.)</w:t>
            </w:r>
          </w:p>
        </w:tc>
        <w:tc>
          <w:tcPr>
            <w:tcW w:w="1843" w:type="dxa"/>
            <w:vAlign w:val="center"/>
          </w:tcPr>
          <w:p w14:paraId="1229045A" w14:textId="649A5BD7" w:rsidR="007C574A" w:rsidRPr="007C574A" w:rsidRDefault="007C574A" w:rsidP="007C57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574A">
              <w:rPr>
                <w:rFonts w:ascii="Times New Roman" w:hAnsi="Times New Roman" w:cs="Times New Roman"/>
              </w:rPr>
              <w:t>&gt; 74 HRK</w:t>
            </w:r>
            <w:r w:rsidRPr="007C574A">
              <w:rPr>
                <w:rFonts w:ascii="Times New Roman" w:hAnsi="Times New Roman" w:cs="Times New Roman"/>
              </w:rPr>
              <w:br/>
              <w:t>(9,82 EUR)</w:t>
            </w:r>
          </w:p>
        </w:tc>
        <w:tc>
          <w:tcPr>
            <w:tcW w:w="2126" w:type="dxa"/>
            <w:vAlign w:val="center"/>
          </w:tcPr>
          <w:p w14:paraId="4A98B6FA" w14:textId="66B8006B" w:rsidR="007C574A" w:rsidRPr="007C574A" w:rsidRDefault="007C574A" w:rsidP="007C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4A">
              <w:rPr>
                <w:rFonts w:ascii="Times New Roman" w:hAnsi="Times New Roman" w:cs="Times New Roman"/>
              </w:rPr>
              <w:t>102,39 HRK</w:t>
            </w:r>
            <w:r w:rsidRPr="007C574A">
              <w:rPr>
                <w:rFonts w:ascii="Times New Roman" w:hAnsi="Times New Roman" w:cs="Times New Roman"/>
              </w:rPr>
              <w:br/>
              <w:t>(13,59 EUR)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(2023.)</w:t>
            </w:r>
          </w:p>
        </w:tc>
      </w:tr>
    </w:tbl>
    <w:p w14:paraId="10BFC1FB" w14:textId="77777777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1735B" w14:textId="77777777" w:rsidR="00945E62" w:rsidRPr="00650F05" w:rsidRDefault="00945E62" w:rsidP="00D51313">
      <w:pPr>
        <w:pStyle w:val="Default"/>
        <w:spacing w:after="240" w:line="360" w:lineRule="auto"/>
        <w:jc w:val="both"/>
        <w:outlineLvl w:val="2"/>
      </w:pPr>
      <w:bookmarkStart w:id="48" w:name="_Toc128473053"/>
      <w:r>
        <w:t>11</w:t>
      </w:r>
      <w:r w:rsidRPr="00650F05">
        <w:t>.2. Opis napretka u provedbi posebnog cilja 1</w:t>
      </w:r>
      <w:r w:rsidR="00C60AF9">
        <w:t>1</w:t>
      </w:r>
      <w:bookmarkEnd w:id="48"/>
      <w:r w:rsidRPr="00650F05">
        <w:t xml:space="preserve"> </w:t>
      </w:r>
    </w:p>
    <w:p w14:paraId="2C33343D" w14:textId="77777777" w:rsidR="00051D1B" w:rsidRDefault="00051D1B" w:rsidP="00271793">
      <w:pPr>
        <w:pStyle w:val="Default"/>
        <w:spacing w:after="240" w:line="360" w:lineRule="auto"/>
        <w:jc w:val="both"/>
      </w:pPr>
      <w:r>
        <w:t>OBŽ je po mnogočemu jedinstven</w:t>
      </w:r>
      <w:r w:rsidR="00271793">
        <w:t>o područje</w:t>
      </w:r>
      <w:r>
        <w:t>, od zemljopisnog položaja, preko kulturne, prirodne i industrijske baštine, bogatstva i zaštićenosti prirodnih resursa, do spremnosti za zelenu tranziciju i inovativnih pothvata u digitalnim i k</w:t>
      </w:r>
      <w:r w:rsidR="00271793">
        <w:t>reativnim industrijama. Stoga OBŽ radi na</w:t>
      </w:r>
      <w:r>
        <w:t xml:space="preserve"> </w:t>
      </w:r>
      <w:r w:rsidR="00271793">
        <w:t>jačanju</w:t>
      </w:r>
      <w:r>
        <w:t xml:space="preserve"> regionaln</w:t>
      </w:r>
      <w:r w:rsidR="00271793">
        <w:t>e</w:t>
      </w:r>
      <w:r>
        <w:t xml:space="preserve"> prepoznatljivost</w:t>
      </w:r>
      <w:r w:rsidR="00271793">
        <w:t>i</w:t>
      </w:r>
      <w:r>
        <w:t xml:space="preserve"> </w:t>
      </w:r>
      <w:r w:rsidR="00271793">
        <w:t>kroz</w:t>
      </w:r>
      <w:r>
        <w:t xml:space="preserve"> </w:t>
      </w:r>
      <w:proofErr w:type="spellStart"/>
      <w:r>
        <w:t>brendiranj</w:t>
      </w:r>
      <w:r w:rsidR="00271793">
        <w:t>e</w:t>
      </w:r>
      <w:proofErr w:type="spellEnd"/>
      <w:r>
        <w:t xml:space="preserve"> i promocij</w:t>
      </w:r>
      <w:r w:rsidR="00271793">
        <w:t>u</w:t>
      </w:r>
      <w:r>
        <w:t xml:space="preserve">, </w:t>
      </w:r>
      <w:r w:rsidR="00271793">
        <w:t>p</w:t>
      </w:r>
      <w:r>
        <w:t xml:space="preserve">ovezivanje kulturno-umjetničkih i turističkih sadržaja te </w:t>
      </w:r>
      <w:r w:rsidR="00271793">
        <w:t>unaprjeđenju</w:t>
      </w:r>
      <w:r>
        <w:t xml:space="preserve"> </w:t>
      </w:r>
      <w:r w:rsidR="00271793">
        <w:t>faktora privlačnosti</w:t>
      </w:r>
      <w:r>
        <w:t xml:space="preserve"> </w:t>
      </w:r>
      <w:r w:rsidR="00271793">
        <w:t>koristeći</w:t>
      </w:r>
      <w:r>
        <w:t xml:space="preserve"> infrastrukturne, baštinske i gospodarske prednosti za razvoj gastronomskog, kulturnog, zdravstvenog, aktivnog, vjerskog, ruralnog i drugih oblika kontinentalnog turizma. </w:t>
      </w:r>
    </w:p>
    <w:p w14:paraId="4367DB41" w14:textId="2C96B9C2" w:rsidR="00271793" w:rsidRDefault="00271793" w:rsidP="00271793">
      <w:pPr>
        <w:pStyle w:val="Default"/>
        <w:spacing w:after="240" w:line="360" w:lineRule="auto"/>
        <w:jc w:val="both"/>
      </w:pPr>
      <w:r>
        <w:lastRenderedPageBreak/>
        <w:t>U tom pogledu OBŽ je povećala ukupna ulaganja za kulturu, nadišavši ciljnu vrijednost već u prvoj godini provedbe Plana razvoja. Budući da za navedenu godinu (202</w:t>
      </w:r>
      <w:r w:rsidR="007C574A">
        <w:t>3</w:t>
      </w:r>
      <w:r>
        <w:t xml:space="preserve">.) još uvijek nisu dostupni potpuni podaci o noćenjima u turističkim smještajnim objektima, važno je naglasiti da je </w:t>
      </w:r>
      <w:r w:rsidR="007C574A">
        <w:t xml:space="preserve">već </w:t>
      </w:r>
      <w:r>
        <w:t>u 202</w:t>
      </w:r>
      <w:r w:rsidR="007C574A">
        <w:t>2</w:t>
      </w:r>
      <w:r>
        <w:t xml:space="preserve">. godini </w:t>
      </w:r>
      <w:r w:rsidR="007C574A">
        <w:t xml:space="preserve">vidljivo </w:t>
      </w:r>
      <w:r>
        <w:t>značajno uvećan</w:t>
      </w:r>
      <w:r w:rsidR="007C574A">
        <w:t>je u odnosu na prethodne dvije godine koje su bile pod značajnim utjecajem restrikcija i posljedica pandemije bolesti COVID-19. Za očekivati je da će se</w:t>
      </w:r>
      <w:r w:rsidR="00786EC9">
        <w:t xml:space="preserve"> pozitivan trend nastaviti,</w:t>
      </w:r>
      <w:r>
        <w:t xml:space="preserve"> pod pretpostavkom da nema većih vanjskih utjecaja koji bi mogli uzdrmati turističko tržište.</w:t>
      </w:r>
    </w:p>
    <w:p w14:paraId="23059837" w14:textId="79C059C9" w:rsidR="00E04792" w:rsidRPr="00E04792" w:rsidRDefault="00E04792" w:rsidP="00E047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04792">
        <w:rPr>
          <w:rFonts w:ascii="Times New Roman" w:hAnsi="Times New Roman" w:cs="Times New Roman"/>
          <w:sz w:val="24"/>
        </w:rPr>
        <w:t xml:space="preserve">Na području OBŽ u tijeku je nekoliko </w:t>
      </w:r>
      <w:r>
        <w:rPr>
          <w:rFonts w:ascii="Times New Roman" w:hAnsi="Times New Roman" w:cs="Times New Roman"/>
          <w:sz w:val="24"/>
        </w:rPr>
        <w:t>strateških</w:t>
      </w:r>
      <w:r w:rsidRPr="00E04792">
        <w:rPr>
          <w:rFonts w:ascii="Times New Roman" w:hAnsi="Times New Roman" w:cs="Times New Roman"/>
          <w:sz w:val="24"/>
        </w:rPr>
        <w:t xml:space="preserve"> projekata koji će doprinijeti jačanju prepoznatljivosti i privlačnosti. </w:t>
      </w:r>
      <w:r w:rsidRPr="00E04792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Integrirani razvojni projekt obnove i turističke valorizacije kulturno-povijesnog naslijeđa biskupa Josipa Jurja Strossmayera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projekt je Đakovačko-osječke nadbiskupije za čiju je prvu fazu završena dokumentacija, a kroz različite izvore financiranja provode se dijelovi projekta (trenutna vrijednost 4</w:t>
      </w:r>
      <w:r w:rsidR="0050239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6 milijuna kuna</w:t>
      </w:r>
      <w:r w:rsidR="00CA278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odnosno 610 tisuća eura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). </w:t>
      </w:r>
      <w:r w:rsidR="00786EC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Tijekom 2023. godine 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realizirano 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je više od 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10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0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aktivnosti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i 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programa 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poput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predstavljanja turističkih potencijala OBŽ, manifestacija, projekata, 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uključujući 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projekt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Prezentacijsko-edukacijskog centra Tikveš Čudesna šuma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ADOBE i prekograničn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suradnj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u</w:t>
      </w:r>
      <w:r w:rsidR="00786EC9" w:rsidRPr="00A0200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s Republikom Srbijom</w:t>
      </w:r>
      <w:r w:rsidR="00786EC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Također, dva ministarstva osigurala su </w:t>
      </w:r>
      <w:r w:rsidR="0050239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gotovo 20 milijuna kuna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 završ</w:t>
      </w:r>
      <w:r w:rsidR="0050239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etak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uređenj</w:t>
      </w:r>
      <w:r w:rsidR="0050239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Kulturnog centra Osijek do kraja 2024. godine (Ministarstvo kulture i medija 900.000 eura i MRRFEU 1,7 milijuna eura).</w:t>
      </w:r>
    </w:p>
    <w:p w14:paraId="4D7DC4B7" w14:textId="110B4973" w:rsidR="00DC22C2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11 utrošeno </w:t>
      </w:r>
      <w:r w:rsidR="00786EC9" w:rsidRPr="00786EC9">
        <w:t xml:space="preserve">1.838.788,90 </w:t>
      </w:r>
      <w:r w:rsidR="00786EC9">
        <w:t>eura</w:t>
      </w:r>
      <w:r w:rsidR="00786EC9" w:rsidRPr="00786EC9">
        <w:t xml:space="preserve"> (13.854.354,97</w:t>
      </w:r>
      <w:r w:rsidR="00786EC9">
        <w:t xml:space="preserve"> kuna</w:t>
      </w:r>
      <w:r w:rsidR="00786EC9" w:rsidRPr="00786EC9">
        <w:t>)</w:t>
      </w:r>
      <w:r>
        <w:t>.</w:t>
      </w:r>
    </w:p>
    <w:p w14:paraId="6CF0735A" w14:textId="77777777" w:rsidR="00945E62" w:rsidRPr="001049FC" w:rsidRDefault="00945E62" w:rsidP="00945E62">
      <w:pPr>
        <w:pStyle w:val="Default"/>
        <w:spacing w:after="240" w:line="360" w:lineRule="auto"/>
        <w:outlineLvl w:val="1"/>
        <w:rPr>
          <w:b/>
          <w:bCs/>
        </w:rPr>
      </w:pPr>
      <w:bookmarkStart w:id="49" w:name="_Toc128473054"/>
      <w:bookmarkEnd w:id="46"/>
      <w:r w:rsidRPr="001049FC">
        <w:rPr>
          <w:b/>
          <w:bCs/>
        </w:rPr>
        <w:t xml:space="preserve">12. </w:t>
      </w:r>
      <w:r w:rsidR="00C60AF9" w:rsidRPr="001049FC">
        <w:rPr>
          <w:b/>
          <w:bCs/>
        </w:rPr>
        <w:t>Podrška digitalnoj tranziciji društva i gospodarstva</w:t>
      </w:r>
      <w:bookmarkEnd w:id="49"/>
      <w:r w:rsidRPr="001049FC">
        <w:rPr>
          <w:b/>
          <w:bCs/>
        </w:rPr>
        <w:t xml:space="preserve"> </w:t>
      </w:r>
    </w:p>
    <w:p w14:paraId="5F86307D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50" w:name="_Toc128473055"/>
      <w:r>
        <w:t>12</w:t>
      </w:r>
      <w:r w:rsidRPr="00650F05">
        <w:t>.</w:t>
      </w:r>
      <w:r>
        <w:t>1</w:t>
      </w:r>
      <w:r w:rsidRPr="00650F05">
        <w:t>. Ostvarene vrijednosti pokazatelja ishoda</w:t>
      </w:r>
      <w:bookmarkEnd w:id="50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2126"/>
      </w:tblGrid>
      <w:tr w:rsidR="00945E62" w14:paraId="3364082B" w14:textId="77777777" w:rsidTr="00D16AC6">
        <w:tc>
          <w:tcPr>
            <w:tcW w:w="3681" w:type="dxa"/>
            <w:vAlign w:val="center"/>
          </w:tcPr>
          <w:p w14:paraId="39FF21B9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1843" w:type="dxa"/>
            <w:vAlign w:val="center"/>
          </w:tcPr>
          <w:p w14:paraId="0BBD88C8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559" w:type="dxa"/>
            <w:vAlign w:val="center"/>
          </w:tcPr>
          <w:p w14:paraId="01351A94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126" w:type="dxa"/>
            <w:vAlign w:val="center"/>
          </w:tcPr>
          <w:p w14:paraId="6D4962E6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C60AF9" w14:paraId="122AAFA6" w14:textId="77777777" w:rsidTr="00D16AC6">
        <w:tc>
          <w:tcPr>
            <w:tcW w:w="3681" w:type="dxa"/>
            <w:vAlign w:val="center"/>
          </w:tcPr>
          <w:p w14:paraId="1F9A2D51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Pokrivenost širokopojasne mreže %</w:t>
            </w:r>
          </w:p>
        </w:tc>
        <w:tc>
          <w:tcPr>
            <w:tcW w:w="1843" w:type="dxa"/>
            <w:vAlign w:val="center"/>
          </w:tcPr>
          <w:p w14:paraId="78C95224" w14:textId="1B0A3D8B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67,9</w:t>
            </w:r>
            <w:r w:rsidR="00783A90">
              <w:rPr>
                <w:rFonts w:ascii="Times New Roman" w:hAnsi="Times New Roman" w:cs="Times New Roman"/>
                <w:sz w:val="24"/>
              </w:rPr>
              <w:t>0</w:t>
            </w:r>
            <w:r w:rsidRPr="00C60AF9">
              <w:rPr>
                <w:rFonts w:ascii="Times New Roman" w:hAnsi="Times New Roman" w:cs="Times New Roman"/>
                <w:sz w:val="24"/>
              </w:rPr>
              <w:t>% fiksne mreže (2020.)</w:t>
            </w:r>
          </w:p>
        </w:tc>
        <w:tc>
          <w:tcPr>
            <w:tcW w:w="1559" w:type="dxa"/>
            <w:vAlign w:val="center"/>
          </w:tcPr>
          <w:p w14:paraId="5E61277D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90% fiksne mreže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34BC5A" w14:textId="6D8C6586" w:rsidR="00C60AF9" w:rsidRDefault="00783A90" w:rsidP="0078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68,40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%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0AF9" w14:paraId="3E36C677" w14:textId="77777777" w:rsidTr="00D16AC6">
        <w:tc>
          <w:tcPr>
            <w:tcW w:w="3681" w:type="dxa"/>
            <w:vAlign w:val="center"/>
          </w:tcPr>
          <w:p w14:paraId="0AA13CD0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Postotak informatičke pismenosti stanovnika u segmentu korištenja interneta</w:t>
            </w:r>
          </w:p>
        </w:tc>
        <w:tc>
          <w:tcPr>
            <w:tcW w:w="1843" w:type="dxa"/>
            <w:vAlign w:val="center"/>
          </w:tcPr>
          <w:p w14:paraId="66A6B24E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81% (2020.)</w:t>
            </w:r>
          </w:p>
        </w:tc>
        <w:tc>
          <w:tcPr>
            <w:tcW w:w="1559" w:type="dxa"/>
            <w:vAlign w:val="center"/>
          </w:tcPr>
          <w:p w14:paraId="241343C3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89%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1B591F" w14:textId="4DD9413D" w:rsidR="00C60AF9" w:rsidRDefault="000E7F48" w:rsidP="006E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6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6A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(12/2022.</w:t>
            </w:r>
            <w:r w:rsidR="00783A90">
              <w:rPr>
                <w:rFonts w:ascii="Times New Roman" w:hAnsi="Times New Roman" w:cs="Times New Roman"/>
                <w:sz w:val="24"/>
                <w:szCs w:val="24"/>
              </w:rPr>
              <w:t>, podatak za 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715443E" w14:textId="77777777" w:rsidR="009544C5" w:rsidRDefault="009544C5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DC52E" w14:textId="77777777" w:rsidR="007374AD" w:rsidRDefault="007374AD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BC809" w14:textId="77777777" w:rsidR="007374AD" w:rsidRPr="00650F05" w:rsidRDefault="007374AD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EFF31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51" w:name="_Toc128473056"/>
      <w:r>
        <w:lastRenderedPageBreak/>
        <w:t>12</w:t>
      </w:r>
      <w:r w:rsidRPr="00650F05">
        <w:t>.2. Opis napretka u provedbi posebnog cilja 1</w:t>
      </w:r>
      <w:r w:rsidR="00C60AF9">
        <w:t>2</w:t>
      </w:r>
      <w:bookmarkEnd w:id="51"/>
      <w:r w:rsidRPr="00650F05">
        <w:t xml:space="preserve"> </w:t>
      </w:r>
    </w:p>
    <w:p w14:paraId="1420AB35" w14:textId="77777777" w:rsidR="000C764A" w:rsidRDefault="003C388B" w:rsidP="00945E62">
      <w:pPr>
        <w:pStyle w:val="Default"/>
        <w:spacing w:after="240" w:line="360" w:lineRule="auto"/>
        <w:jc w:val="both"/>
      </w:pPr>
      <w:r>
        <w:t>Ra</w:t>
      </w:r>
      <w:r w:rsidR="000C764A">
        <w:t>zvoj</w:t>
      </w:r>
      <w:r>
        <w:t xml:space="preserve"> i unaprjeđenje digitalne infrastrukture s ciljem povećanja uporabe informacijsko-komunikacijskih tehnologija imperativ je </w:t>
      </w:r>
      <w:r w:rsidR="000C764A">
        <w:t>kako</w:t>
      </w:r>
      <w:r>
        <w:t xml:space="preserve"> za javni </w:t>
      </w:r>
      <w:r w:rsidR="000C764A">
        <w:t xml:space="preserve">tako </w:t>
      </w:r>
      <w:r>
        <w:t xml:space="preserve">i za privatni sektor. </w:t>
      </w:r>
      <w:r w:rsidR="00A56D50">
        <w:t>Građenje</w:t>
      </w:r>
      <w:r w:rsidR="000C764A">
        <w:t xml:space="preserve"> elektroničke komunikacijske infrastrukture i povezane opreme neophodne za pružanje elektroničkih komunikacijskih usluga, planiranje i priprem</w:t>
      </w:r>
      <w:r w:rsidR="00A56D50">
        <w:t>a</w:t>
      </w:r>
      <w:r w:rsidR="000C764A">
        <w:t xml:space="preserve"> p</w:t>
      </w:r>
      <w:r w:rsidR="00A56D50">
        <w:t>rojektne dokumentacije i razvoj</w:t>
      </w:r>
      <w:r w:rsidR="000C764A">
        <w:t xml:space="preserve"> </w:t>
      </w:r>
      <w:proofErr w:type="spellStart"/>
      <w:r w:rsidR="000C764A">
        <w:t>agregacijskih</w:t>
      </w:r>
      <w:proofErr w:type="spellEnd"/>
      <w:r w:rsidR="000C764A">
        <w:t xml:space="preserve"> mreža sljedeće gener</w:t>
      </w:r>
      <w:r w:rsidR="00A56D50">
        <w:t>acije, opremanje javne uprave tehnologijom, edukacija</w:t>
      </w:r>
      <w:r w:rsidR="000C764A">
        <w:t xml:space="preserve"> ciljnih skupina za intenzivnije korištenje </w:t>
      </w:r>
      <w:r w:rsidR="00A56D50">
        <w:t xml:space="preserve">takve </w:t>
      </w:r>
      <w:r w:rsidR="000C764A">
        <w:t>tehnologije, omogućavanje dostupnosti širokopojasnog pristupa u ruralnim područjima i pokriveno</w:t>
      </w:r>
      <w:r w:rsidR="00A56D50">
        <w:t>st</w:t>
      </w:r>
      <w:r w:rsidR="000C764A">
        <w:t xml:space="preserve"> brzom širokopojasnom mrežom doprin</w:t>
      </w:r>
      <w:r w:rsidR="00A56D50">
        <w:t>ose</w:t>
      </w:r>
      <w:r w:rsidR="000C764A">
        <w:t xml:space="preserve"> razvoju i unaprjeđenju digitalne infrastrukture s ciljem povećanja uporabe </w:t>
      </w:r>
      <w:r w:rsidR="00A56D50">
        <w:t>IKT</w:t>
      </w:r>
      <w:r w:rsidR="000C764A">
        <w:t>.</w:t>
      </w:r>
    </w:p>
    <w:p w14:paraId="4454D0C4" w14:textId="470DACB8" w:rsidR="000C764A" w:rsidRDefault="00E90857" w:rsidP="00945E62">
      <w:pPr>
        <w:pStyle w:val="Default"/>
        <w:spacing w:after="240" w:line="360" w:lineRule="auto"/>
        <w:jc w:val="both"/>
      </w:pPr>
      <w:r>
        <w:t xml:space="preserve">Podaci za </w:t>
      </w:r>
      <w:r w:rsidR="00783A90">
        <w:t>drugi pokazatelj</w:t>
      </w:r>
      <w:r>
        <w:t xml:space="preserve"> ishoda u okviru ovog posebnog cilja dostup</w:t>
      </w:r>
      <w:r w:rsidR="00783A90">
        <w:t>a</w:t>
      </w:r>
      <w:r>
        <w:t xml:space="preserve">n </w:t>
      </w:r>
      <w:r w:rsidR="00783A90">
        <w:t>je</w:t>
      </w:r>
      <w:r>
        <w:t xml:space="preserve"> samo za cijelu Hrvatsku, s obzirom da se pretpostavlja relativno ravnomjerno stanje</w:t>
      </w:r>
      <w:r w:rsidR="00783A90">
        <w:t xml:space="preserve"> informatičke pismenost</w:t>
      </w:r>
      <w:r>
        <w:t xml:space="preserve"> na čitavom teritoriju</w:t>
      </w:r>
      <w:r w:rsidR="00783A90">
        <w:t>,</w:t>
      </w:r>
      <w:r>
        <w:t xml:space="preserve"> uz manje razlike u urbanim područjima u odnosu na ruralna. Posljednji dostupni podaci </w:t>
      </w:r>
      <w:r w:rsidR="000C764A">
        <w:t>iz 202</w:t>
      </w:r>
      <w:r w:rsidR="00783A90">
        <w:t>2</w:t>
      </w:r>
      <w:r w:rsidR="000C764A">
        <w:t>. godine pokazu</w:t>
      </w:r>
      <w:r w:rsidR="00783A90">
        <w:t>ju</w:t>
      </w:r>
      <w:r w:rsidR="000C764A">
        <w:t xml:space="preserve"> da se za </w:t>
      </w:r>
      <w:r w:rsidR="00783A90">
        <w:t>pola</w:t>
      </w:r>
      <w:r w:rsidR="000C764A">
        <w:t xml:space="preserve"> postotn</w:t>
      </w:r>
      <w:r w:rsidR="00783A90">
        <w:t>og</w:t>
      </w:r>
      <w:r w:rsidR="000C764A">
        <w:t xml:space="preserve"> poena povećala pokrivenosti širokopojasne mreže</w:t>
      </w:r>
      <w:r w:rsidR="00783A90">
        <w:t xml:space="preserve"> u OBŽ</w:t>
      </w:r>
      <w:r w:rsidR="000C764A">
        <w:t>,</w:t>
      </w:r>
      <w:r>
        <w:t xml:space="preserve"> a za dva informatička pismenost stanovnika u segmentu korištenja interneta. </w:t>
      </w:r>
      <w:r w:rsidR="00783A90">
        <w:t>Podaci pokazuju da</w:t>
      </w:r>
      <w:r w:rsidR="00A56D50">
        <w:t xml:space="preserve"> u oba područja postoji značajan prostor za napredak</w:t>
      </w:r>
      <w:r w:rsidR="00E04467">
        <w:t>.</w:t>
      </w:r>
    </w:p>
    <w:p w14:paraId="04D9D81B" w14:textId="77E38C7F" w:rsidR="00E04467" w:rsidRPr="00A961BD" w:rsidRDefault="00A961BD" w:rsidP="00E044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1BD">
        <w:rPr>
          <w:rFonts w:ascii="Times New Roman" w:hAnsi="Times New Roman" w:cs="Times New Roman"/>
          <w:sz w:val="24"/>
          <w:szCs w:val="24"/>
        </w:rPr>
        <w:t xml:space="preserve">U  svrhu postizanja ovog posebnog cilja provodi se projekt razvoja širokopojasne infrastrukture za područje općina Antunovac, Čepin, Erdut, Ernestinovo, </w:t>
      </w:r>
      <w:proofErr w:type="spellStart"/>
      <w:r w:rsidRPr="00A961BD">
        <w:rPr>
          <w:rFonts w:ascii="Times New Roman" w:hAnsi="Times New Roman" w:cs="Times New Roman"/>
          <w:sz w:val="24"/>
          <w:szCs w:val="24"/>
        </w:rPr>
        <w:t>Šodolovci</w:t>
      </w:r>
      <w:proofErr w:type="spellEnd"/>
      <w:r w:rsidRPr="00A96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1BD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A961BD">
        <w:rPr>
          <w:rFonts w:ascii="Times New Roman" w:hAnsi="Times New Roman" w:cs="Times New Roman"/>
          <w:sz w:val="24"/>
          <w:szCs w:val="24"/>
        </w:rPr>
        <w:t xml:space="preserve"> i Vuka. Pored toga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 Osijek nositelj je projekta IT park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Osijek kao specijalizirane mikro gospodarsk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zone namijenjene tvrtkama koje posluju u sektoru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nformacijskih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A961BD">
        <w:rPr>
          <w:rFonts w:ascii="Times New Roman" w:eastAsia="Times New Roman" w:hAnsi="Times New Roman" w:cs="Times New Roman"/>
          <w:sz w:val="24"/>
          <w:szCs w:val="24"/>
          <w:lang w:eastAsia="hr-HR"/>
        </w:rPr>
        <w:t>ehnologija (IT).</w:t>
      </w:r>
    </w:p>
    <w:p w14:paraId="344442AD" w14:textId="0B52E35A" w:rsidR="007374AD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12 utrošeno </w:t>
      </w:r>
      <w:r w:rsidR="00C54A63" w:rsidRPr="00C54A63">
        <w:t xml:space="preserve">861.486,37 </w:t>
      </w:r>
      <w:r w:rsidR="00C54A63">
        <w:t>eura</w:t>
      </w:r>
      <w:r w:rsidR="00C54A63" w:rsidRPr="00C54A63">
        <w:t xml:space="preserve"> (6.490.869,05</w:t>
      </w:r>
      <w:r w:rsidR="00C54A63">
        <w:t xml:space="preserve"> kuna</w:t>
      </w:r>
      <w:r w:rsidR="00C54A63" w:rsidRPr="00C54A63">
        <w:t>)</w:t>
      </w:r>
      <w:r>
        <w:t>.</w:t>
      </w:r>
    </w:p>
    <w:p w14:paraId="05E8A959" w14:textId="77777777" w:rsidR="007374AD" w:rsidRDefault="007374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F1A343D" w14:textId="77777777" w:rsidR="00DC22C2" w:rsidRDefault="00DC22C2" w:rsidP="00945E62">
      <w:pPr>
        <w:pStyle w:val="Default"/>
        <w:spacing w:after="240" w:line="360" w:lineRule="auto"/>
        <w:jc w:val="both"/>
      </w:pPr>
    </w:p>
    <w:p w14:paraId="39BEA989" w14:textId="191C00B3" w:rsidR="00945E62" w:rsidRPr="001049FC" w:rsidRDefault="00945E62" w:rsidP="00D735E1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52" w:name="_Toc128473057"/>
      <w:r w:rsidRPr="001049FC">
        <w:rPr>
          <w:b/>
          <w:bCs/>
        </w:rPr>
        <w:t xml:space="preserve">13. </w:t>
      </w:r>
      <w:r w:rsidR="00C60AF9" w:rsidRPr="001049FC">
        <w:rPr>
          <w:b/>
          <w:bCs/>
        </w:rPr>
        <w:t>Unaprjeđenje učinkovitosti i djelotvornosti javnog sektora i upravljanja javnom imovinom</w:t>
      </w:r>
      <w:bookmarkEnd w:id="52"/>
      <w:r w:rsidRPr="001049FC">
        <w:rPr>
          <w:b/>
          <w:bCs/>
        </w:rPr>
        <w:t xml:space="preserve"> </w:t>
      </w:r>
    </w:p>
    <w:p w14:paraId="627AB992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53" w:name="_Toc128473058"/>
      <w:r>
        <w:t>13</w:t>
      </w:r>
      <w:r w:rsidRPr="00650F05">
        <w:t>.</w:t>
      </w:r>
      <w:r>
        <w:t>1</w:t>
      </w:r>
      <w:r w:rsidRPr="00650F05">
        <w:t>. Ostvarene vrijednosti pokazatelja ishoda</w:t>
      </w:r>
      <w:bookmarkEnd w:id="5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45E62" w14:paraId="1766E9C9" w14:textId="77777777" w:rsidTr="00196073">
        <w:tc>
          <w:tcPr>
            <w:tcW w:w="2265" w:type="dxa"/>
            <w:vAlign w:val="center"/>
          </w:tcPr>
          <w:p w14:paraId="192DF6D9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265" w:type="dxa"/>
            <w:vAlign w:val="center"/>
          </w:tcPr>
          <w:p w14:paraId="1363B063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2266" w:type="dxa"/>
            <w:vAlign w:val="center"/>
          </w:tcPr>
          <w:p w14:paraId="7272795D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266" w:type="dxa"/>
            <w:vAlign w:val="center"/>
          </w:tcPr>
          <w:p w14:paraId="2CA6D5DA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C60AF9" w14:paraId="5FA498A8" w14:textId="77777777" w:rsidTr="0042775F">
        <w:tc>
          <w:tcPr>
            <w:tcW w:w="2265" w:type="dxa"/>
            <w:vAlign w:val="center"/>
          </w:tcPr>
          <w:p w14:paraId="62237279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Indeks razvoja (županije)</w:t>
            </w:r>
          </w:p>
        </w:tc>
        <w:tc>
          <w:tcPr>
            <w:tcW w:w="2265" w:type="dxa"/>
            <w:vAlign w:val="center"/>
          </w:tcPr>
          <w:p w14:paraId="04EB7D7A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II. skupina (2019.)</w:t>
            </w:r>
          </w:p>
        </w:tc>
        <w:tc>
          <w:tcPr>
            <w:tcW w:w="2266" w:type="dxa"/>
            <w:vAlign w:val="center"/>
          </w:tcPr>
          <w:p w14:paraId="59396BEA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 xml:space="preserve">&gt; II. skupine </w:t>
            </w:r>
          </w:p>
        </w:tc>
        <w:tc>
          <w:tcPr>
            <w:tcW w:w="2266" w:type="dxa"/>
            <w:vAlign w:val="center"/>
          </w:tcPr>
          <w:p w14:paraId="0AEDCB80" w14:textId="07026CC9" w:rsidR="00C60AF9" w:rsidRDefault="000E7F48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skupina (202</w:t>
            </w:r>
            <w:r w:rsidR="00C54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0AF9" w14:paraId="4E9191D6" w14:textId="77777777" w:rsidTr="00CA2787">
        <w:tc>
          <w:tcPr>
            <w:tcW w:w="2265" w:type="dxa"/>
            <w:vAlign w:val="center"/>
          </w:tcPr>
          <w:p w14:paraId="488156D9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 xml:space="preserve">Broj javnih službenika na 1.000 stanovnika </w:t>
            </w:r>
          </w:p>
        </w:tc>
        <w:tc>
          <w:tcPr>
            <w:tcW w:w="2265" w:type="dxa"/>
            <w:vAlign w:val="center"/>
          </w:tcPr>
          <w:p w14:paraId="24ED994D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 xml:space="preserve">2,29 (2019.) </w:t>
            </w:r>
          </w:p>
        </w:tc>
        <w:tc>
          <w:tcPr>
            <w:tcW w:w="2266" w:type="dxa"/>
            <w:vAlign w:val="center"/>
          </w:tcPr>
          <w:p w14:paraId="4A1EE9FA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&lt; 2,1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F02EED8" w14:textId="768AA41C" w:rsidR="00C60AF9" w:rsidRPr="00CA2787" w:rsidRDefault="008E3201" w:rsidP="006E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  <w:r w:rsidR="000E7F48" w:rsidRPr="00CA27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4A63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="000E7F48" w:rsidRPr="00CA2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AF9" w14:paraId="272307B2" w14:textId="77777777" w:rsidTr="0042775F">
        <w:tc>
          <w:tcPr>
            <w:tcW w:w="2265" w:type="dxa"/>
            <w:vAlign w:val="center"/>
          </w:tcPr>
          <w:p w14:paraId="41948F84" w14:textId="77777777" w:rsidR="00C60AF9" w:rsidRPr="00C60AF9" w:rsidRDefault="00C60AF9" w:rsidP="00FF66BD">
            <w:pPr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Broj novih e-usluga za građane</w:t>
            </w:r>
          </w:p>
        </w:tc>
        <w:tc>
          <w:tcPr>
            <w:tcW w:w="2265" w:type="dxa"/>
            <w:vAlign w:val="center"/>
          </w:tcPr>
          <w:p w14:paraId="7B528D72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1 (2021.)</w:t>
            </w:r>
          </w:p>
        </w:tc>
        <w:tc>
          <w:tcPr>
            <w:tcW w:w="2266" w:type="dxa"/>
            <w:vAlign w:val="center"/>
          </w:tcPr>
          <w:p w14:paraId="29094E18" w14:textId="77777777" w:rsidR="00C60AF9" w:rsidRPr="00C60AF9" w:rsidRDefault="00C60AF9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AF9">
              <w:rPr>
                <w:rFonts w:ascii="Times New Roman" w:hAnsi="Times New Roman" w:cs="Times New Roman"/>
                <w:sz w:val="24"/>
              </w:rPr>
              <w:t>&gt; 5</w:t>
            </w:r>
          </w:p>
        </w:tc>
        <w:tc>
          <w:tcPr>
            <w:tcW w:w="2266" w:type="dxa"/>
            <w:vAlign w:val="center"/>
          </w:tcPr>
          <w:p w14:paraId="6505B5F9" w14:textId="7C599613" w:rsidR="00C60AF9" w:rsidRDefault="00C54A63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 w:rsidR="007D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5EB0345" w14:textId="29780BBC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92C1C" w14:textId="77777777" w:rsidR="00945E62" w:rsidRPr="00650F05" w:rsidRDefault="00945E62" w:rsidP="00945E62">
      <w:pPr>
        <w:pStyle w:val="Default"/>
        <w:spacing w:after="240" w:line="360" w:lineRule="auto"/>
        <w:outlineLvl w:val="2"/>
      </w:pPr>
      <w:bookmarkStart w:id="54" w:name="_Toc128473059"/>
      <w:r>
        <w:t>13</w:t>
      </w:r>
      <w:r w:rsidRPr="00650F05">
        <w:t>.2. Opis napretka u provedbi posebnog cilja 1</w:t>
      </w:r>
      <w:r w:rsidR="00C60AF9">
        <w:t>3</w:t>
      </w:r>
      <w:bookmarkEnd w:id="54"/>
      <w:r w:rsidRPr="00650F05">
        <w:t xml:space="preserve"> </w:t>
      </w:r>
    </w:p>
    <w:p w14:paraId="1331DB45" w14:textId="109A6BBB" w:rsidR="00E9692B" w:rsidRDefault="00E9692B" w:rsidP="000C764A">
      <w:pPr>
        <w:pStyle w:val="Default"/>
        <w:spacing w:after="240" w:line="360" w:lineRule="auto"/>
        <w:jc w:val="both"/>
      </w:pPr>
      <w:r>
        <w:t xml:space="preserve">Unaprjeđenje rada javnog sektora doprinosi olakšavanju poslovanja poslovnog sektora, povećanju kvalitete i dostupnosti usluga građanima i pravnim osobama te osiguravanju adekvatne alokacije javnih sredstava. U tom su smislu prioritetna područja vezana uz razvoj ljudskih i tehnoloških kapaciteta. </w:t>
      </w:r>
      <w:r w:rsidR="001C1FE3">
        <w:t xml:space="preserve">Kada je riječ o ljudskim kapacitetima, pokazatelj broj javnih službenika na 1.000 stanovnika iz 2019. godine temeljen je na podacima Ministarstva uprave i pravosuđa, no s obzirom da su s 1. siječnja 2020. godine ukinuti županijski uredi državne uprave te njihovi poslovi i zaposlenici pripojeni županijama, došlo je do nužnih izmjena u metodologiji izračuna. Tako je </w:t>
      </w:r>
      <w:r w:rsidR="00C54A63">
        <w:t>krajem</w:t>
      </w:r>
      <w:r w:rsidR="001C1FE3">
        <w:t xml:space="preserve"> 202</w:t>
      </w:r>
      <w:r w:rsidR="00C54A63">
        <w:t>3</w:t>
      </w:r>
      <w:r w:rsidR="001C1FE3">
        <w:t>. godin</w:t>
      </w:r>
      <w:r w:rsidR="00C54A63">
        <w:t>e</w:t>
      </w:r>
      <w:r w:rsidR="001C1FE3">
        <w:t xml:space="preserve"> u OBŽ radilo </w:t>
      </w:r>
      <w:r w:rsidR="00C54A63">
        <w:t>400</w:t>
      </w:r>
      <w:r w:rsidR="001C1FE3">
        <w:t xml:space="preserve"> javnih službenika i namještenika, a u 42 jedinice lokalne samouprave ukupno </w:t>
      </w:r>
      <w:r w:rsidR="00C54A63">
        <w:t>963</w:t>
      </w:r>
      <w:r w:rsidR="001C1FE3">
        <w:t xml:space="preserve"> </w:t>
      </w:r>
      <w:r w:rsidR="00962438">
        <w:t>zaposlenika</w:t>
      </w:r>
      <w:r w:rsidR="001C1FE3">
        <w:t xml:space="preserve"> (</w:t>
      </w:r>
      <w:r w:rsidR="00962438">
        <w:t xml:space="preserve">napomena: </w:t>
      </w:r>
      <w:r w:rsidR="001C1FE3">
        <w:t xml:space="preserve">broj uključuje i komunalne radnike i osobe privremeno zaposlene </w:t>
      </w:r>
      <w:r w:rsidR="00962438">
        <w:t xml:space="preserve">na poslovima javnih radova). Time je za broj radnika </w:t>
      </w:r>
      <w:r w:rsidR="00C54A63">
        <w:t xml:space="preserve">smanjen za 200 </w:t>
      </w:r>
      <w:r w:rsidR="00962438">
        <w:t>u odnosu na</w:t>
      </w:r>
      <w:r w:rsidR="00C54A63">
        <w:t xml:space="preserve"> podatke iz</w:t>
      </w:r>
      <w:r w:rsidR="00962438">
        <w:t xml:space="preserve"> 202</w:t>
      </w:r>
      <w:r w:rsidR="00C54A63">
        <w:t>1</w:t>
      </w:r>
      <w:r w:rsidR="00962438">
        <w:t>. godin</w:t>
      </w:r>
      <w:r w:rsidR="00C54A63">
        <w:t>e</w:t>
      </w:r>
      <w:r w:rsidR="00962438">
        <w:t>, iako je broj administrativnih službenika na lokalnoj i područnoj razini ostao sličan, uz dodatak osoba koje su prethodno radile u županijskim uredima državne uprave (državni službenici i namještenici)</w:t>
      </w:r>
      <w:r w:rsidR="008F414F">
        <w:t>. P</w:t>
      </w:r>
      <w:r w:rsidR="00C54A63">
        <w:t>osljedično</w:t>
      </w:r>
      <w:r w:rsidR="008F414F">
        <w:t xml:space="preserve"> je smanjen i</w:t>
      </w:r>
      <w:r w:rsidR="00C54A63">
        <w:t xml:space="preserve"> omjer službenika na 1.000 stanovnika</w:t>
      </w:r>
      <w:r w:rsidR="008F414F">
        <w:t xml:space="preserve"> sa 6,16 na 5,29</w:t>
      </w:r>
      <w:r w:rsidR="00C54A63">
        <w:t>.</w:t>
      </w:r>
    </w:p>
    <w:p w14:paraId="265CC184" w14:textId="688A7A35" w:rsidR="00CB3702" w:rsidRDefault="00E9692B" w:rsidP="000C764A">
      <w:pPr>
        <w:pStyle w:val="Default"/>
        <w:spacing w:after="240" w:line="360" w:lineRule="auto"/>
        <w:jc w:val="both"/>
      </w:pPr>
      <w:r>
        <w:t>S tehnološke strane</w:t>
      </w:r>
      <w:r w:rsidR="000C764A">
        <w:t>, promjene poput digitalizacije upravljanja, otvaranja (javnih) podataka u strojno čitljivim formatima, širenja broja e-usluga i sl. omogućavaju administrativno rasterećenje i olakšavanje rada s građanima i korisnicima iz privatnog i civilnog sektora.</w:t>
      </w:r>
      <w:r>
        <w:t xml:space="preserve"> </w:t>
      </w:r>
      <w:r w:rsidR="008F414F">
        <w:t xml:space="preserve">Trenutno je dostupna usluga prijave predstavki i pritužbi putem elektroničkog obrasca na </w:t>
      </w:r>
      <w:r w:rsidR="008F414F">
        <w:lastRenderedPageBreak/>
        <w:t>mrežnim stranicama OBŽ</w:t>
      </w:r>
      <w:r>
        <w:t xml:space="preserve">. U tom pogledu, </w:t>
      </w:r>
      <w:r w:rsidR="00C54A63">
        <w:t xml:space="preserve">planira se uvođenje nove usluge e-Obrasci tijekom 2024. godine. </w:t>
      </w:r>
      <w:r>
        <w:t>u</w:t>
      </w:r>
      <w:r w:rsidR="00CB3702">
        <w:t xml:space="preserve">vođenjem obaveznog elektroničkog uredskog poslovanja s početkom 2023. godine, očekuje se i ubrzano širenje e-usluga u odnosu na </w:t>
      </w:r>
      <w:r>
        <w:t>prethodno</w:t>
      </w:r>
      <w:r w:rsidR="00CB3702">
        <w:t xml:space="preserve"> razdoblje.</w:t>
      </w:r>
    </w:p>
    <w:p w14:paraId="2020D499" w14:textId="5C52B889" w:rsidR="000C764A" w:rsidRDefault="001C1FE3" w:rsidP="00945E62">
      <w:pPr>
        <w:pStyle w:val="Default"/>
        <w:spacing w:after="240" w:line="360" w:lineRule="auto"/>
        <w:jc w:val="both"/>
      </w:pPr>
      <w:r>
        <w:t xml:space="preserve">Jačanje upravljačkih kapaciteta u javnoj upravi na područnoj razini jedan su od preduvjeta za povećanje stupnja razvijenosti na razini cijele županije. Jedno od mjerila uspjeha u tom smjeru jest i indeks razvoja (razvijenosti), kako pojedinih jedinica lokalne samouprave, tako i same županije. S obzirom da </w:t>
      </w:r>
      <w:r w:rsidR="008F414F">
        <w:t xml:space="preserve">je </w:t>
      </w:r>
      <w:r>
        <w:t>postojeći indeks</w:t>
      </w:r>
      <w:r w:rsidR="008F414F">
        <w:t xml:space="preserve"> iz</w:t>
      </w:r>
      <w:r>
        <w:t xml:space="preserve"> </w:t>
      </w:r>
      <w:r w:rsidR="008F414F">
        <w:t xml:space="preserve">2017. godine </w:t>
      </w:r>
      <w:r>
        <w:t>vrijedio</w:t>
      </w:r>
      <w:r w:rsidR="008F414F">
        <w:t xml:space="preserve"> i tijekom 2023. godine</w:t>
      </w:r>
      <w:r>
        <w:t>, nije došlo do promjene u kategorizaciji OBŽ ni njezinih općina i gradova.</w:t>
      </w:r>
    </w:p>
    <w:p w14:paraId="2173B657" w14:textId="6F0732C4" w:rsidR="00DC22C2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13 utrošeno </w:t>
      </w:r>
      <w:r w:rsidR="00FB07EE" w:rsidRPr="00FB07EE">
        <w:t>2.922.872,08</w:t>
      </w:r>
      <w:r w:rsidR="00FB07EE">
        <w:t xml:space="preserve"> eura</w:t>
      </w:r>
      <w:r w:rsidR="00FB07EE" w:rsidRPr="00FB07EE">
        <w:t xml:space="preserve"> (22.022.379,69</w:t>
      </w:r>
      <w:r w:rsidR="00FB07EE">
        <w:t xml:space="preserve"> kuna</w:t>
      </w:r>
      <w:r w:rsidR="00FB07EE" w:rsidRPr="00FB07EE">
        <w:t>)</w:t>
      </w:r>
      <w:r>
        <w:t>.</w:t>
      </w:r>
      <w:r w:rsidR="000423C0">
        <w:t xml:space="preserve"> </w:t>
      </w:r>
      <w:r w:rsidR="00267FFA" w:rsidRPr="00267FFA">
        <w:rPr>
          <w:i/>
        </w:rPr>
        <w:t>Napomena:</w:t>
      </w:r>
      <w:r w:rsidR="00267FFA">
        <w:t xml:space="preserve"> u</w:t>
      </w:r>
      <w:r w:rsidR="000423C0">
        <w:t xml:space="preserve"> ukupni financijski iznos nisu uključeni troškovi javne uprave i administracije Županije, kao ni troškovi predstavničkog i izvršnog tijela Županije, odnosno nešto više od </w:t>
      </w:r>
      <w:r w:rsidR="00FB07EE" w:rsidRPr="00FB07EE">
        <w:t>11</w:t>
      </w:r>
      <w:r w:rsidR="00FB07EE">
        <w:t>,5 milijuna eura</w:t>
      </w:r>
      <w:r w:rsidR="000423C0">
        <w:t xml:space="preserve"> (</w:t>
      </w:r>
      <w:r w:rsidR="00FB07EE">
        <w:t>87</w:t>
      </w:r>
      <w:r w:rsidR="000423C0">
        <w:t xml:space="preserve"> milijuna </w:t>
      </w:r>
      <w:r w:rsidR="00B121F6">
        <w:t>kuna</w:t>
      </w:r>
      <w:r w:rsidR="000423C0">
        <w:t>).</w:t>
      </w:r>
    </w:p>
    <w:p w14:paraId="6F26DC94" w14:textId="77777777" w:rsidR="00945E62" w:rsidRPr="00D735E1" w:rsidRDefault="00945E62" w:rsidP="00FC6B57">
      <w:pPr>
        <w:pStyle w:val="Default"/>
        <w:spacing w:after="240" w:line="360" w:lineRule="auto"/>
        <w:jc w:val="both"/>
        <w:outlineLvl w:val="1"/>
        <w:rPr>
          <w:b/>
          <w:bCs/>
        </w:rPr>
      </w:pPr>
      <w:bookmarkStart w:id="55" w:name="_Toc128473060"/>
      <w:r w:rsidRPr="00D735E1">
        <w:rPr>
          <w:b/>
          <w:bCs/>
        </w:rPr>
        <w:t xml:space="preserve">14. </w:t>
      </w:r>
      <w:r w:rsidR="00EC2B5D" w:rsidRPr="00D735E1">
        <w:rPr>
          <w:b/>
          <w:bCs/>
        </w:rPr>
        <w:t>Podrška razvoju slabije razvijenih i potpomognutih područja Županije</w:t>
      </w:r>
      <w:bookmarkEnd w:id="55"/>
      <w:r w:rsidRPr="00D735E1">
        <w:rPr>
          <w:b/>
          <w:bCs/>
        </w:rPr>
        <w:t xml:space="preserve"> </w:t>
      </w:r>
    </w:p>
    <w:p w14:paraId="40E903B7" w14:textId="77777777" w:rsidR="00945E62" w:rsidRPr="00D735E1" w:rsidRDefault="00945E62" w:rsidP="00FC6B57">
      <w:pPr>
        <w:pStyle w:val="Default"/>
        <w:spacing w:after="240" w:line="360" w:lineRule="auto"/>
        <w:jc w:val="both"/>
        <w:outlineLvl w:val="2"/>
      </w:pPr>
      <w:bookmarkStart w:id="56" w:name="_Toc128473061"/>
      <w:r w:rsidRPr="00D735E1">
        <w:t>14.1. Ostvarene vrijednosti pokazatelja ishoda</w:t>
      </w:r>
      <w:bookmarkEnd w:id="56"/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2410"/>
      </w:tblGrid>
      <w:tr w:rsidR="00945E62" w14:paraId="51692F1F" w14:textId="77777777" w:rsidTr="008F414F">
        <w:tc>
          <w:tcPr>
            <w:tcW w:w="2547" w:type="dxa"/>
            <w:vAlign w:val="center"/>
          </w:tcPr>
          <w:p w14:paraId="46405753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ishoda</w:t>
            </w:r>
          </w:p>
        </w:tc>
        <w:tc>
          <w:tcPr>
            <w:tcW w:w="2410" w:type="dxa"/>
            <w:vAlign w:val="center"/>
          </w:tcPr>
          <w:p w14:paraId="2D62EECF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Početna vrijednost</w:t>
            </w:r>
          </w:p>
        </w:tc>
        <w:tc>
          <w:tcPr>
            <w:tcW w:w="1984" w:type="dxa"/>
            <w:vAlign w:val="center"/>
          </w:tcPr>
          <w:p w14:paraId="47704501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vrijednost</w:t>
            </w:r>
          </w:p>
        </w:tc>
        <w:tc>
          <w:tcPr>
            <w:tcW w:w="2410" w:type="dxa"/>
            <w:vAlign w:val="center"/>
          </w:tcPr>
          <w:p w14:paraId="39140DFB" w14:textId="77777777" w:rsidR="00945E62" w:rsidRDefault="00945E62" w:rsidP="00FF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vrijednost (godina podatka)</w:t>
            </w:r>
          </w:p>
        </w:tc>
      </w:tr>
      <w:tr w:rsidR="008F414F" w14:paraId="404AAFAF" w14:textId="77777777" w:rsidTr="008F414F">
        <w:tc>
          <w:tcPr>
            <w:tcW w:w="2547" w:type="dxa"/>
            <w:vAlign w:val="center"/>
          </w:tcPr>
          <w:p w14:paraId="4B41A967" w14:textId="77777777" w:rsidR="008F414F" w:rsidRPr="00EC2B5D" w:rsidRDefault="008F414F" w:rsidP="008F414F">
            <w:pPr>
              <w:rPr>
                <w:rFonts w:ascii="Times New Roman" w:hAnsi="Times New Roman" w:cs="Times New Roman"/>
                <w:sz w:val="24"/>
              </w:rPr>
            </w:pPr>
            <w:r w:rsidRPr="00EC2B5D">
              <w:rPr>
                <w:rFonts w:ascii="Times New Roman" w:hAnsi="Times New Roman" w:cs="Times New Roman"/>
                <w:sz w:val="24"/>
              </w:rPr>
              <w:t>Ukupni prihodi općine</w:t>
            </w:r>
          </w:p>
        </w:tc>
        <w:tc>
          <w:tcPr>
            <w:tcW w:w="2410" w:type="dxa"/>
            <w:vAlign w:val="center"/>
          </w:tcPr>
          <w:p w14:paraId="310CB8E6" w14:textId="7EF25273" w:rsidR="008F414F" w:rsidRPr="008F414F" w:rsidRDefault="008F414F" w:rsidP="008F41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39 JLS-a: 7.198,88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 (955,46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/po stanovniku (2019.)</w:t>
            </w:r>
          </w:p>
        </w:tc>
        <w:tc>
          <w:tcPr>
            <w:tcW w:w="1984" w:type="dxa"/>
            <w:vAlign w:val="center"/>
          </w:tcPr>
          <w:p w14:paraId="501E1949" w14:textId="73C255CF" w:rsidR="008F414F" w:rsidRPr="008F414F" w:rsidRDefault="008F414F" w:rsidP="008F41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&gt; 12.000,00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 (1.</w:t>
            </w:r>
            <w:r w:rsidR="003C116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92,67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/po stanovniku</w:t>
            </w:r>
          </w:p>
        </w:tc>
        <w:tc>
          <w:tcPr>
            <w:tcW w:w="2410" w:type="dxa"/>
            <w:vAlign w:val="center"/>
          </w:tcPr>
          <w:p w14:paraId="2DBCD52B" w14:textId="55C866C9" w:rsidR="008F414F" w:rsidRPr="008F414F" w:rsidRDefault="008F414F" w:rsidP="008F41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39 JLS-a: 6.756,33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kn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 xml:space="preserve"> (896,72 </w:t>
            </w:r>
            <w:r w:rsidR="003230A3">
              <w:rPr>
                <w:rFonts w:ascii="Times New Roman" w:hAnsi="Times New Roman" w:cs="Times New Roman"/>
                <w:sz w:val="23"/>
                <w:szCs w:val="23"/>
              </w:rPr>
              <w:t>eura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414F">
              <w:rPr>
                <w:rFonts w:ascii="Times New Roman" w:hAnsi="Times New Roman" w:cs="Times New Roman"/>
                <w:sz w:val="23"/>
                <w:szCs w:val="23"/>
              </w:rPr>
              <w:t>/po stanovniku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(2022.)</w:t>
            </w:r>
          </w:p>
        </w:tc>
      </w:tr>
      <w:tr w:rsidR="00EC2B5D" w14:paraId="10886319" w14:textId="77777777" w:rsidTr="008F414F">
        <w:tc>
          <w:tcPr>
            <w:tcW w:w="2547" w:type="dxa"/>
            <w:vAlign w:val="center"/>
          </w:tcPr>
          <w:p w14:paraId="0C4296FB" w14:textId="77777777" w:rsidR="00EC2B5D" w:rsidRPr="00EC2B5D" w:rsidRDefault="00EC2B5D" w:rsidP="00FF66BD">
            <w:pPr>
              <w:rPr>
                <w:rFonts w:ascii="Times New Roman" w:hAnsi="Times New Roman" w:cs="Times New Roman"/>
                <w:sz w:val="24"/>
              </w:rPr>
            </w:pPr>
            <w:r w:rsidRPr="00EC2B5D">
              <w:rPr>
                <w:rFonts w:ascii="Times New Roman" w:hAnsi="Times New Roman" w:cs="Times New Roman"/>
                <w:sz w:val="24"/>
              </w:rPr>
              <w:t>Ugovorena sredstva fondova EU u BDP-u županije</w:t>
            </w:r>
          </w:p>
        </w:tc>
        <w:tc>
          <w:tcPr>
            <w:tcW w:w="2410" w:type="dxa"/>
            <w:vAlign w:val="center"/>
          </w:tcPr>
          <w:p w14:paraId="71A6DCD1" w14:textId="77777777" w:rsidR="00EC2B5D" w:rsidRPr="00EC2B5D" w:rsidRDefault="00EC2B5D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2B5D">
              <w:rPr>
                <w:rFonts w:ascii="Times New Roman" w:hAnsi="Times New Roman" w:cs="Times New Roman"/>
                <w:sz w:val="24"/>
              </w:rPr>
              <w:t>25% (2018.)</w:t>
            </w:r>
          </w:p>
        </w:tc>
        <w:tc>
          <w:tcPr>
            <w:tcW w:w="1984" w:type="dxa"/>
            <w:vAlign w:val="center"/>
          </w:tcPr>
          <w:p w14:paraId="297242A0" w14:textId="77777777" w:rsidR="00EC2B5D" w:rsidRPr="00EC2B5D" w:rsidRDefault="00EC2B5D" w:rsidP="00FF6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2B5D">
              <w:rPr>
                <w:rFonts w:ascii="Times New Roman" w:hAnsi="Times New Roman" w:cs="Times New Roman"/>
                <w:sz w:val="24"/>
              </w:rPr>
              <w:t>&gt; 35%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72C1FA" w14:textId="5996973E" w:rsidR="008F414F" w:rsidRDefault="008F414F" w:rsidP="0042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novih podataka</w:t>
            </w:r>
          </w:p>
        </w:tc>
      </w:tr>
    </w:tbl>
    <w:p w14:paraId="5B4E704D" w14:textId="58904A3B" w:rsidR="00945E62" w:rsidRPr="00650F05" w:rsidRDefault="00945E62" w:rsidP="00945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718FB" w14:textId="77777777" w:rsidR="00945E62" w:rsidRPr="00650F05" w:rsidRDefault="00945E62" w:rsidP="00FC6B57">
      <w:pPr>
        <w:pStyle w:val="Default"/>
        <w:spacing w:after="240" w:line="360" w:lineRule="auto"/>
        <w:jc w:val="both"/>
        <w:outlineLvl w:val="2"/>
      </w:pPr>
      <w:bookmarkStart w:id="57" w:name="_Toc128473062"/>
      <w:r>
        <w:t>14</w:t>
      </w:r>
      <w:r w:rsidRPr="00650F05">
        <w:t>.2. Opis napretka u provedbi posebnog cilja 1</w:t>
      </w:r>
      <w:r w:rsidR="00EC2B5D">
        <w:t>4</w:t>
      </w:r>
      <w:bookmarkEnd w:id="57"/>
      <w:r w:rsidRPr="00650F05">
        <w:t xml:space="preserve"> </w:t>
      </w:r>
    </w:p>
    <w:p w14:paraId="3BC63B50" w14:textId="77777777" w:rsidR="00694398" w:rsidRDefault="00694398" w:rsidP="00945E62">
      <w:pPr>
        <w:pStyle w:val="Default"/>
        <w:spacing w:after="240" w:line="360" w:lineRule="auto"/>
        <w:jc w:val="both"/>
      </w:pPr>
      <w:r>
        <w:t xml:space="preserve">Kao ključna odrednica u podršci razvoju slabije razvijenih i potpomognutih područja u OBŽ </w:t>
      </w:r>
      <w:proofErr w:type="spellStart"/>
      <w:r>
        <w:t>isprofilirala</w:t>
      </w:r>
      <w:proofErr w:type="spellEnd"/>
      <w:r>
        <w:t xml:space="preserve"> su se pitanja jačanja kapaciteta dionika razvoja i osiguravanja sustava podrške za apsorpciju sredstava u sljedećem razdoblju, pri čemu veću podršku zahtijevaju oni gradovi i općine koji su </w:t>
      </w:r>
      <w:proofErr w:type="spellStart"/>
      <w:r>
        <w:t>potkapacitirani</w:t>
      </w:r>
      <w:proofErr w:type="spellEnd"/>
      <w:r>
        <w:t xml:space="preserve"> u ljudskim i financijskim resursima. </w:t>
      </w:r>
    </w:p>
    <w:p w14:paraId="3EDE35B8" w14:textId="377B4E71" w:rsidR="00694398" w:rsidRDefault="00694398" w:rsidP="00945E62">
      <w:pPr>
        <w:pStyle w:val="Default"/>
        <w:spacing w:after="240" w:line="360" w:lineRule="auto"/>
        <w:jc w:val="both"/>
      </w:pPr>
      <w:r>
        <w:t>Podatak za prvi pokazatelj ishoda pokazuje da su učinci sm</w:t>
      </w:r>
      <w:r w:rsidR="005C5AE9">
        <w:t>anjene gospodarske aktivnosti zbog posljedica pandemije</w:t>
      </w:r>
      <w:r w:rsidR="008F414F">
        <w:t xml:space="preserve"> i drugih globalnih događanja </w:t>
      </w:r>
      <w:r w:rsidR="005C5AE9">
        <w:t>bili vidljivi</w:t>
      </w:r>
      <w:r w:rsidR="008F414F">
        <w:t xml:space="preserve"> 2021. godine</w:t>
      </w:r>
      <w:r w:rsidR="005C5AE9">
        <w:t xml:space="preserve"> i na ukupnim prihodima jedinica lokalne samouprave s područja OBŽ koji spadaju u II. skupinu prema važećem indeksu razvijenosti (među koje ne spadaju Grad Osijek, Grad Našice i Općina </w:t>
      </w:r>
      <w:r w:rsidR="005C5AE9">
        <w:lastRenderedPageBreak/>
        <w:t xml:space="preserve">Antunovac). </w:t>
      </w:r>
      <w:r w:rsidR="008F414F">
        <w:t>Navedeni p</w:t>
      </w:r>
      <w:r w:rsidR="005C5AE9">
        <w:t>rihodi</w:t>
      </w:r>
      <w:r w:rsidR="008F414F">
        <w:t xml:space="preserve"> su se donekle oporavili tijekom 2022. godine (za koju postoje podaci) u odnosu na podatke iz prethodnog Godišnjeg izvješća (</w:t>
      </w:r>
      <w:r w:rsidR="00BF0C0C">
        <w:t xml:space="preserve">rast sa 800 eura na gotovo </w:t>
      </w:r>
      <w:r w:rsidR="00BF0C0C" w:rsidRPr="008F414F">
        <w:rPr>
          <w:sz w:val="23"/>
          <w:szCs w:val="23"/>
        </w:rPr>
        <w:t>9</w:t>
      </w:r>
      <w:r w:rsidR="00BF0C0C">
        <w:rPr>
          <w:sz w:val="23"/>
          <w:szCs w:val="23"/>
        </w:rPr>
        <w:t>00</w:t>
      </w:r>
      <w:r w:rsidR="00BF0C0C" w:rsidRPr="008F414F">
        <w:rPr>
          <w:sz w:val="23"/>
          <w:szCs w:val="23"/>
        </w:rPr>
        <w:t xml:space="preserve"> </w:t>
      </w:r>
      <w:r w:rsidR="00BF0C0C">
        <w:rPr>
          <w:sz w:val="23"/>
          <w:szCs w:val="23"/>
        </w:rPr>
        <w:t xml:space="preserve">eura </w:t>
      </w:r>
      <w:r w:rsidR="00BF0C0C" w:rsidRPr="008F414F">
        <w:rPr>
          <w:sz w:val="23"/>
          <w:szCs w:val="23"/>
        </w:rPr>
        <w:t>po stanovniku</w:t>
      </w:r>
      <w:r w:rsidR="00BF0C0C">
        <w:rPr>
          <w:sz w:val="23"/>
          <w:szCs w:val="23"/>
        </w:rPr>
        <w:t>),</w:t>
      </w:r>
      <w:r w:rsidR="005C5AE9">
        <w:t xml:space="preserve"> kako se stanje nakon poremećaja na tržištima smirival</w:t>
      </w:r>
      <w:r w:rsidR="008F414F">
        <w:t>o. Očekuje se nastavak pozitivnog trenda</w:t>
      </w:r>
      <w:r w:rsidR="005C5AE9">
        <w:t xml:space="preserve"> ukoliko ne dođe do novih potresa izazvanih vanjskim faktorima (eskalacija </w:t>
      </w:r>
      <w:r w:rsidR="008F414F">
        <w:t xml:space="preserve">aktivnih </w:t>
      </w:r>
      <w:r w:rsidR="005C5AE9">
        <w:t>rat</w:t>
      </w:r>
      <w:r w:rsidR="008F414F">
        <w:t>ov</w:t>
      </w:r>
      <w:r w:rsidR="005C5AE9">
        <w:t>a, nastav</w:t>
      </w:r>
      <w:r w:rsidR="008F414F">
        <w:t>a</w:t>
      </w:r>
      <w:r w:rsidR="005C5AE9">
        <w:t>k inflatornih pritisaka, recesija i sl.).</w:t>
      </w:r>
    </w:p>
    <w:p w14:paraId="6DBF9C86" w14:textId="09308981" w:rsidR="005C5AE9" w:rsidRDefault="005C5AE9" w:rsidP="00945E62">
      <w:pPr>
        <w:pStyle w:val="Default"/>
        <w:spacing w:after="240" w:line="360" w:lineRule="auto"/>
        <w:jc w:val="both"/>
      </w:pPr>
      <w:r>
        <w:t>Za drugi pokazatelj ishoda u okviru ovog posebno</w:t>
      </w:r>
      <w:r w:rsidR="00BF0C0C">
        <w:t>g</w:t>
      </w:r>
      <w:r>
        <w:t xml:space="preserve"> cilja nema novijih podataka, budući da nadležno ministarstvo u promatranom razdoblju nije </w:t>
      </w:r>
      <w:r w:rsidR="00CF4A69">
        <w:t xml:space="preserve">sustavno </w:t>
      </w:r>
      <w:r>
        <w:t>objavljivalo podatke o ugovorenim sredstvima fondova Europske unije. Također, riječ je o periodu na razmeđu između dva višegodišnja financijska okvira EU, kada su sredstva iz prethodnog financijskog razdoblja (2014.</w:t>
      </w:r>
      <w:r w:rsidR="00EB370C">
        <w:t xml:space="preserve"> </w:t>
      </w:r>
      <w:r>
        <w:t>-</w:t>
      </w:r>
      <w:r w:rsidR="00EB370C">
        <w:t xml:space="preserve"> </w:t>
      </w:r>
      <w:r>
        <w:t>2021.) već ugovorena, a sredstva iz novog financijskog razdoblja (2021.</w:t>
      </w:r>
      <w:r w:rsidR="00EB370C">
        <w:t xml:space="preserve"> </w:t>
      </w:r>
      <w:r>
        <w:t>-</w:t>
      </w:r>
      <w:r w:rsidR="00EB370C">
        <w:t xml:space="preserve"> </w:t>
      </w:r>
      <w:r>
        <w:t>2027.) još nisu bila operacionalizirana (većina operativnih programa iz novog razdoblja usvojena su krajem 2022. godine). Očekuje se da će podaci o ugovorenim sredstvima biti dostupni u sljedećem godišnjem izvješću.</w:t>
      </w:r>
    </w:p>
    <w:p w14:paraId="6AE4A1DC" w14:textId="4084AFC8" w:rsidR="0024155B" w:rsidRDefault="0024155B" w:rsidP="00945E62">
      <w:pPr>
        <w:pStyle w:val="Default"/>
        <w:spacing w:after="240" w:line="360" w:lineRule="auto"/>
        <w:jc w:val="both"/>
      </w:pPr>
      <w:r>
        <w:t xml:space="preserve">Vrijedi napomenuti da na području OBŽ djeluje regionalni koordinator, </w:t>
      </w:r>
      <w:r w:rsidR="00BF0C0C">
        <w:t>sedam</w:t>
      </w:r>
      <w:r>
        <w:t xml:space="preserve"> lokalnih koordinatora i pet lokalnih akcijskih grupa, dok se u svrhu usklađenog razvoja redovito održavaju koordinacije župana s načelnicima i gradonačelnicima kao i sjednice Partnerskog vijeća Županije.</w:t>
      </w:r>
    </w:p>
    <w:p w14:paraId="60226563" w14:textId="6FC897DA" w:rsidR="00DC22C2" w:rsidRPr="00650F05" w:rsidRDefault="00DC22C2" w:rsidP="00945E62">
      <w:pPr>
        <w:pStyle w:val="Default"/>
        <w:spacing w:after="240" w:line="360" w:lineRule="auto"/>
        <w:jc w:val="both"/>
      </w:pPr>
      <w:r>
        <w:t>Ukupno je</w:t>
      </w:r>
      <w:r w:rsidR="00177690">
        <w:t xml:space="preserve"> iz Proračuna OBŽ u 202</w:t>
      </w:r>
      <w:r w:rsidR="008F414F">
        <w:t>3</w:t>
      </w:r>
      <w:r w:rsidR="00177690">
        <w:t>. godini</w:t>
      </w:r>
      <w:r>
        <w:t xml:space="preserve"> na realizaciju posebnog cilja 14 utrošeno </w:t>
      </w:r>
      <w:r w:rsidR="00BF0C0C" w:rsidRPr="00BF0C0C">
        <w:t xml:space="preserve">977.159,78 </w:t>
      </w:r>
      <w:r w:rsidR="00BF0C0C">
        <w:t>eura</w:t>
      </w:r>
      <w:r w:rsidR="00BF0C0C" w:rsidRPr="00BF0C0C">
        <w:t xml:space="preserve"> (7.362.410,36</w:t>
      </w:r>
      <w:r w:rsidR="00BF0C0C">
        <w:t xml:space="preserve"> kuna</w:t>
      </w:r>
      <w:r w:rsidR="00BF0C0C" w:rsidRPr="00BF0C0C">
        <w:t>)</w:t>
      </w:r>
      <w:r>
        <w:t>.</w:t>
      </w:r>
    </w:p>
    <w:p w14:paraId="5F6E0E05" w14:textId="45375D96" w:rsidR="0030304C" w:rsidRPr="005055BF" w:rsidRDefault="00650F05" w:rsidP="005055BF">
      <w:pPr>
        <w:pStyle w:val="Default"/>
        <w:pageBreakBefore/>
        <w:spacing w:after="240" w:line="360" w:lineRule="auto"/>
        <w:outlineLvl w:val="0"/>
        <w:rPr>
          <w:color w:val="auto"/>
        </w:rPr>
      </w:pPr>
      <w:bookmarkStart w:id="58" w:name="_Toc128473063"/>
      <w:bookmarkStart w:id="59" w:name="_Hlk159491039"/>
      <w:r w:rsidRPr="009C042A">
        <w:rPr>
          <w:b/>
          <w:bCs/>
          <w:color w:val="auto"/>
        </w:rPr>
        <w:lastRenderedPageBreak/>
        <w:t>Zaključak</w:t>
      </w:r>
      <w:bookmarkEnd w:id="58"/>
    </w:p>
    <w:p w14:paraId="5F2A4BF0" w14:textId="40039D5C" w:rsidR="0030304C" w:rsidRDefault="0030304C" w:rsidP="0030304C">
      <w:pPr>
        <w:pStyle w:val="Default"/>
        <w:spacing w:after="240" w:line="360" w:lineRule="auto"/>
        <w:jc w:val="both"/>
      </w:pPr>
      <w:r>
        <w:t>Podaci</w:t>
      </w:r>
      <w:r w:rsidRPr="009C042A">
        <w:t xml:space="preserve"> </w:t>
      </w:r>
      <w:r>
        <w:t xml:space="preserve">navedeni u Godišnjem izvješću o provedbi Plana razvoja Osječko-baranjske županije za razdoblje do 2027. godine za </w:t>
      </w:r>
      <w:r w:rsidRPr="009C042A">
        <w:t xml:space="preserve"> 202</w:t>
      </w:r>
      <w:r>
        <w:t>3</w:t>
      </w:r>
      <w:r w:rsidRPr="009C042A">
        <w:t>. godin</w:t>
      </w:r>
      <w:r>
        <w:t>u,</w:t>
      </w:r>
      <w:r w:rsidRPr="009C042A">
        <w:t xml:space="preserve"> </w:t>
      </w:r>
      <w:r>
        <w:t>pokazuju napredak i pozitivan trend</w:t>
      </w:r>
      <w:r w:rsidRPr="009C042A">
        <w:t xml:space="preserve"> gospodarsk</w:t>
      </w:r>
      <w:r>
        <w:t>og</w:t>
      </w:r>
      <w:r w:rsidRPr="009C042A">
        <w:t xml:space="preserve"> i društven</w:t>
      </w:r>
      <w:r>
        <w:t>og</w:t>
      </w:r>
      <w:r w:rsidRPr="009C042A">
        <w:t xml:space="preserve"> razvoj</w:t>
      </w:r>
      <w:r>
        <w:t>a</w:t>
      </w:r>
      <w:r w:rsidRPr="009C042A">
        <w:t xml:space="preserve"> na području OBŽ</w:t>
      </w:r>
      <w:r>
        <w:t xml:space="preserve">  u odnosu na prethodno izvještajno razdoblje. </w:t>
      </w:r>
    </w:p>
    <w:p w14:paraId="7A89E2EE" w14:textId="4F30F77D" w:rsidR="0030304C" w:rsidRPr="009C042A" w:rsidRDefault="007C1E66" w:rsidP="00FB6800">
      <w:pPr>
        <w:pStyle w:val="Default"/>
        <w:spacing w:line="360" w:lineRule="auto"/>
        <w:jc w:val="both"/>
      </w:pPr>
      <w:r w:rsidRPr="009C042A">
        <w:t>Temeljem prikupljenih podataka o odabranim pokazateljima ishoda kojima se dokazuje napredak u realizaciji posebnih ciljeva Plana razvoja, kao i podataka o aktivnostima</w:t>
      </w:r>
      <w:r w:rsidR="007F47D1" w:rsidRPr="009C042A">
        <w:t xml:space="preserve"> koje je OBŽ poduzimala tijekom 202</w:t>
      </w:r>
      <w:r w:rsidR="009C042A" w:rsidRPr="009C042A">
        <w:t>3</w:t>
      </w:r>
      <w:r w:rsidR="007F47D1" w:rsidRPr="009C042A">
        <w:t>. godine, vidljivo je sljedeće:</w:t>
      </w:r>
    </w:p>
    <w:p w14:paraId="65672488" w14:textId="148C53C5" w:rsidR="007C1E66" w:rsidRPr="009C042A" w:rsidRDefault="007F47D1" w:rsidP="00EB579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9C042A">
        <w:t xml:space="preserve">prema </w:t>
      </w:r>
      <w:r w:rsidR="009C042A" w:rsidRPr="009C042A">
        <w:t xml:space="preserve">gotovo dvije trećine </w:t>
      </w:r>
      <w:r w:rsidRPr="009C042A">
        <w:t>promatranih pokazatelja ishoda (</w:t>
      </w:r>
      <w:r w:rsidR="009C042A" w:rsidRPr="009C042A">
        <w:t xml:space="preserve">23 </w:t>
      </w:r>
      <w:r w:rsidRPr="009C042A">
        <w:t>od 37) učinjen je napredak u odnosu na početnu vrijednost</w:t>
      </w:r>
      <w:r w:rsidR="000753F8" w:rsidRPr="009C042A">
        <w:t xml:space="preserve">, od čega je u čak </w:t>
      </w:r>
      <w:r w:rsidR="00B31263">
        <w:t>šest</w:t>
      </w:r>
      <w:r w:rsidR="000753F8" w:rsidRPr="009C042A">
        <w:t xml:space="preserve"> slučaja premašena i ciljna vrijednost (udio učenika korisnika centara kompetencije u ukupnom broju učenika,</w:t>
      </w:r>
      <w:r w:rsidR="00B31263">
        <w:t xml:space="preserve"> bruto investicije u području obrazovanja, udio zaposlenih u malim i srednjim poduzećima u ukupnom broju zaposlenih,</w:t>
      </w:r>
      <w:r w:rsidR="000753F8" w:rsidRPr="009C042A">
        <w:t xml:space="preserve"> kao i rashodi za kulturu, sport i civilnu zaštitu po stanovniku); </w:t>
      </w:r>
    </w:p>
    <w:p w14:paraId="055A25B5" w14:textId="172F3188" w:rsidR="00EB5792" w:rsidRPr="009C042A" w:rsidRDefault="00EB5792" w:rsidP="00EB579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9C042A">
        <w:t xml:space="preserve">kod </w:t>
      </w:r>
      <w:r w:rsidR="00FF772D">
        <w:t>određenog</w:t>
      </w:r>
      <w:r w:rsidRPr="009C042A">
        <w:t xml:space="preserve"> dijela pokazatelja (</w:t>
      </w:r>
      <w:r w:rsidR="00B31263">
        <w:t>2</w:t>
      </w:r>
      <w:r w:rsidRPr="009C042A">
        <w:t xml:space="preserve">) podatak je ostao isti, ili zbog toga što se nije očekivala njihova promjena (npr. postotak zaštićenih područja za biološku raznolikost) ili se nije očekivala u promatranom razdoblju (npr. broj </w:t>
      </w:r>
      <w:r w:rsidR="00B31263">
        <w:t>novih e-usluga za građane</w:t>
      </w:r>
      <w:r w:rsidRPr="009C042A">
        <w:t>);</w:t>
      </w:r>
    </w:p>
    <w:p w14:paraId="40F17289" w14:textId="4FC1CD33" w:rsidR="000753F8" w:rsidRPr="009C042A" w:rsidRDefault="000753F8" w:rsidP="00EB579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 w:rsidRPr="009C042A">
        <w:t xml:space="preserve">za dio pokazatelja </w:t>
      </w:r>
      <w:r w:rsidR="001C562D" w:rsidRPr="009C042A">
        <w:t>(</w:t>
      </w:r>
      <w:r w:rsidR="00B31263">
        <w:t>4</w:t>
      </w:r>
      <w:r w:rsidR="001C562D" w:rsidRPr="009C042A">
        <w:t xml:space="preserve">) </w:t>
      </w:r>
      <w:r w:rsidRPr="009C042A">
        <w:t xml:space="preserve">nisu pronađeni noviji podaci od onih koji su bili poznati kod početnih vrijednosti, uglavnom zbog nedostatka izvora podataka, odnosno njihovog objavljivanja na godišnjoj razini </w:t>
      </w:r>
      <w:r w:rsidR="00FF772D">
        <w:t xml:space="preserve">od strane nadležnih tijela </w:t>
      </w:r>
      <w:r w:rsidRPr="009C042A">
        <w:t xml:space="preserve">(npr. </w:t>
      </w:r>
      <w:r w:rsidR="00B31263">
        <w:t>podatak o BDP-u po stanovniku prema paritetu kupovne moći</w:t>
      </w:r>
      <w:r w:rsidR="009B59D5">
        <w:t xml:space="preserve"> ili podatak o ugovorenim sredstvima fondova EU u BPD-u županije</w:t>
      </w:r>
      <w:r w:rsidRPr="009C042A">
        <w:t xml:space="preserve">). Kod takvih pokazatelja, noviji podaci bit će uvršteni u jedan od sljedećih godišnjih izvješća, ovisno o učestalosti </w:t>
      </w:r>
      <w:r w:rsidR="009B59D5">
        <w:t xml:space="preserve">njihove </w:t>
      </w:r>
      <w:r w:rsidRPr="009C042A">
        <w:t xml:space="preserve">objave;  </w:t>
      </w:r>
    </w:p>
    <w:p w14:paraId="395B1AD7" w14:textId="0C884083" w:rsidR="001C562D" w:rsidRPr="009C042A" w:rsidRDefault="00FF772D" w:rsidP="005F0670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kod pokazatelja </w:t>
      </w:r>
      <w:r w:rsidR="001C562D" w:rsidRPr="009C042A">
        <w:t>ishoda (</w:t>
      </w:r>
      <w:r w:rsidR="002A3AF9">
        <w:t>8</w:t>
      </w:r>
      <w:r w:rsidR="001C562D" w:rsidRPr="009C042A">
        <w:t>) pokazalo se smanjenje u odnosu na početnu vrijednost</w:t>
      </w:r>
      <w:r w:rsidR="005F0670">
        <w:t>:</w:t>
      </w:r>
    </w:p>
    <w:p w14:paraId="77218F55" w14:textId="2DCD7FA0" w:rsidR="001C562D" w:rsidRPr="009C042A" w:rsidRDefault="001C562D" w:rsidP="00EB5792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 w:rsidRPr="009C042A">
        <w:t>za posebni cilj 1</w:t>
      </w:r>
      <w:r w:rsidR="008476DE" w:rsidRPr="009C042A">
        <w:t>.</w:t>
      </w:r>
      <w:r w:rsidRPr="009C042A">
        <w:t xml:space="preserve"> Podrška demografskoj revitalizaciji i osnaživanje obitelji </w:t>
      </w:r>
      <w:r w:rsidR="002B1175" w:rsidRPr="009C042A">
        <w:t>podaci</w:t>
      </w:r>
      <w:r w:rsidRPr="009C042A">
        <w:t xml:space="preserve"> </w:t>
      </w:r>
      <w:r w:rsidR="009B59D5">
        <w:t xml:space="preserve">(3) </w:t>
      </w:r>
      <w:r w:rsidRPr="009C042A">
        <w:t xml:space="preserve">zbog općih demografskih kretanja u Hrvatskoj još uvijek </w:t>
      </w:r>
      <w:r w:rsidR="008476DE" w:rsidRPr="009C042A">
        <w:t>pokazuju</w:t>
      </w:r>
      <w:r w:rsidRPr="009C042A">
        <w:t xml:space="preserve"> generalno negativan trend, za čije će usporavanje i/ili okretanje biti potreban sinergijski napor svih sektora i razina vlasti;</w:t>
      </w:r>
    </w:p>
    <w:p w14:paraId="5D8498ED" w14:textId="5FE033D7" w:rsidR="001C562D" w:rsidRPr="009C042A" w:rsidRDefault="002B1175" w:rsidP="00EB5792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 w:rsidRPr="009C042A">
        <w:t>za posebni cilj 2</w:t>
      </w:r>
      <w:r w:rsidR="008476DE" w:rsidRPr="009C042A">
        <w:t>. Razvoj i unaprjeđenje sustava zdravstva i socijalne skrbi, podatak o gustoći liječnika na 10.000 stanovnika je smanjen u odnosu na 2018. godin</w:t>
      </w:r>
      <w:r w:rsidR="006F6F92">
        <w:t>u</w:t>
      </w:r>
      <w:r w:rsidR="008476DE" w:rsidRPr="009C042A">
        <w:t>, zbog pojačanog trenda iseljavanja</w:t>
      </w:r>
      <w:r w:rsidR="006F6F92">
        <w:t xml:space="preserve">, kao i zbog umirovljenja </w:t>
      </w:r>
      <w:r w:rsidR="008476DE" w:rsidRPr="009C042A">
        <w:t xml:space="preserve">medicinskog osoblja; </w:t>
      </w:r>
      <w:r w:rsidRPr="009C042A">
        <w:t xml:space="preserve"> </w:t>
      </w:r>
    </w:p>
    <w:p w14:paraId="28A36541" w14:textId="58A66AE2" w:rsidR="00EC54FD" w:rsidRPr="0030304C" w:rsidRDefault="008476DE" w:rsidP="0030304C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 w:rsidRPr="009C042A">
        <w:t>za posebni cilj 3. Razvoj i unaprjeđenje odgojno-obrazovne i znanstveno-istraživačke djelatnosti u funkciji gospodarstva i tržišta rada, podatak o</w:t>
      </w:r>
      <w:r w:rsidR="009B59D5">
        <w:t xml:space="preserve"> postotku visokoobrazovanih osoba od 25-64 godine </w:t>
      </w:r>
      <w:r w:rsidRPr="009C042A">
        <w:t>pokazuje smanjenje</w:t>
      </w:r>
      <w:r w:rsidR="009B59D5">
        <w:t xml:space="preserve"> temeljem Popisa </w:t>
      </w:r>
      <w:r w:rsidR="009B59D5">
        <w:lastRenderedPageBreak/>
        <w:t>stanovništva iz 2021. godine</w:t>
      </w:r>
      <w:r w:rsidRPr="009C042A">
        <w:t>,</w:t>
      </w:r>
      <w:r w:rsidR="009B59D5">
        <w:t xml:space="preserve"> zbog sveukupnog smanjenja populacije izazvanog niskim prirodnim priraštajem, starenjem i migracijama</w:t>
      </w:r>
      <w:r w:rsidR="00F03D25">
        <w:t>;</w:t>
      </w:r>
      <w:r w:rsidRPr="009C042A">
        <w:t xml:space="preserve"> </w:t>
      </w:r>
    </w:p>
    <w:p w14:paraId="11F97882" w14:textId="3A4C9509" w:rsidR="00F03D25" w:rsidRDefault="00F03D25" w:rsidP="0030304C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>
        <w:t xml:space="preserve">za </w:t>
      </w:r>
      <w:r w:rsidR="008476DE" w:rsidRPr="009C042A">
        <w:t>posebn</w:t>
      </w:r>
      <w:r>
        <w:t>i</w:t>
      </w:r>
      <w:r w:rsidR="008476DE" w:rsidRPr="009C042A">
        <w:t xml:space="preserve"> cil</w:t>
      </w:r>
      <w:r>
        <w:t>j</w:t>
      </w:r>
      <w:r w:rsidR="008476DE" w:rsidRPr="009C042A">
        <w:t xml:space="preserve"> 4. </w:t>
      </w:r>
      <w:r w:rsidR="00742535">
        <w:t>Jačanje zajednice i civilnog društva u funkciji poticanja aktivnog i kvalitetnog života građana</w:t>
      </w:r>
      <w:r w:rsidR="008476DE" w:rsidRPr="009C042A">
        <w:t xml:space="preserve">, </w:t>
      </w:r>
      <w:r>
        <w:t xml:space="preserve">podatak o smanjenju broja aktivnih udruga na području županije izazvan je pravnim učincima </w:t>
      </w:r>
      <w:r w:rsidR="006F6F92">
        <w:t>izmjene</w:t>
      </w:r>
      <w:r>
        <w:t xml:space="preserve"> Zakona o udrugama iz prosinca 2022. godine (efikasniji postupak brisanja </w:t>
      </w:r>
      <w:r w:rsidR="006F6F92">
        <w:t xml:space="preserve">udruga iz registra </w:t>
      </w:r>
      <w:r>
        <w:t>od strane nadležnog tijela);</w:t>
      </w:r>
    </w:p>
    <w:p w14:paraId="2ECF7BE3" w14:textId="6F40C300" w:rsidR="00EC54FD" w:rsidRDefault="00F03D25" w:rsidP="00EC54FD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>
        <w:t>za posebni cilj 6. Razvoj lokalne i regionalne infrastrukture radi unaprjeđenja kvalitete života s ciljem e</w:t>
      </w:r>
      <w:r w:rsidR="00E54978">
        <w:t>kološke</w:t>
      </w:r>
      <w:r>
        <w:t xml:space="preserve"> i energetske tranzicije, povećana je finalna potrošnja energije u kućanstvima po stanovniku. Navedeni podatak može se smatrati približno točnim, jer je dostupan isključivo na nacionalnoj razini, </w:t>
      </w:r>
      <w:r w:rsidR="006F6F92">
        <w:t>pri čemu je</w:t>
      </w:r>
      <w:r>
        <w:t xml:space="preserve"> za očekivati da gospodarski razvijeniji dijelovi </w:t>
      </w:r>
      <w:r w:rsidR="006F6F92">
        <w:t>RH troše više energije u odnosu na manje razvijene</w:t>
      </w:r>
      <w:r>
        <w:t>;</w:t>
      </w:r>
    </w:p>
    <w:p w14:paraId="1FA6B185" w14:textId="1A897958" w:rsidR="00E54978" w:rsidRDefault="006F6F92" w:rsidP="00E54978">
      <w:pPr>
        <w:pStyle w:val="Default"/>
        <w:numPr>
          <w:ilvl w:val="1"/>
          <w:numId w:val="5"/>
        </w:numPr>
        <w:spacing w:line="360" w:lineRule="auto"/>
        <w:ind w:left="851" w:hanging="425"/>
        <w:jc w:val="both"/>
      </w:pPr>
      <w:r>
        <w:t xml:space="preserve">za </w:t>
      </w:r>
      <w:r w:rsidR="008476DE" w:rsidRPr="009C042A">
        <w:t>posebn</w:t>
      </w:r>
      <w:r>
        <w:t>i</w:t>
      </w:r>
      <w:r w:rsidR="008476DE" w:rsidRPr="009C042A">
        <w:t xml:space="preserve"> cilj 10. Podrška proizvodnji i preradi hrane u funkciji održivog regionalnog razvoja, </w:t>
      </w:r>
      <w:r>
        <w:t>podatak o ekološkoj proizvodnji usjeva pokazuje smanjenje, potencijalno zbog tržišnih poremećaja i</w:t>
      </w:r>
      <w:r w:rsidR="00345B4B" w:rsidRPr="00CC3117">
        <w:t xml:space="preserve"> </w:t>
      </w:r>
      <w:r w:rsidR="00345B4B">
        <w:t>striktnosti</w:t>
      </w:r>
      <w:r w:rsidR="00345B4B" w:rsidRPr="00CC3117">
        <w:t xml:space="preserve"> sustav</w:t>
      </w:r>
      <w:r w:rsidR="00345B4B">
        <w:t>a</w:t>
      </w:r>
      <w:r w:rsidR="00345B4B" w:rsidRPr="00CC3117">
        <w:t xml:space="preserve"> </w:t>
      </w:r>
      <w:r w:rsidR="00345B4B">
        <w:t>certificiranja</w:t>
      </w:r>
      <w:r w:rsidR="00345B4B" w:rsidRPr="00CC3117">
        <w:t xml:space="preserve"> </w:t>
      </w:r>
      <w:r w:rsidR="00345B4B">
        <w:t>ekološke</w:t>
      </w:r>
      <w:r w:rsidR="00345B4B" w:rsidRPr="00CC3117">
        <w:t xml:space="preserve"> proizvodnj</w:t>
      </w:r>
      <w:r w:rsidR="00345B4B">
        <w:t>e</w:t>
      </w:r>
      <w:r w:rsidR="00E9550A" w:rsidRPr="009C042A">
        <w:t>.</w:t>
      </w:r>
    </w:p>
    <w:p w14:paraId="3C04BA93" w14:textId="77777777" w:rsidR="00F93880" w:rsidRDefault="00F93880" w:rsidP="00F93880">
      <w:pPr>
        <w:pStyle w:val="Default"/>
        <w:spacing w:line="360" w:lineRule="auto"/>
        <w:ind w:left="851"/>
        <w:jc w:val="both"/>
      </w:pPr>
    </w:p>
    <w:p w14:paraId="66B53DE3" w14:textId="675F74DE" w:rsidR="00650F05" w:rsidRPr="009C042A" w:rsidRDefault="0030304C" w:rsidP="00CA5585">
      <w:pPr>
        <w:pStyle w:val="Default"/>
        <w:spacing w:after="240" w:line="360" w:lineRule="auto"/>
        <w:jc w:val="both"/>
      </w:pPr>
      <w:r>
        <w:t>O</w:t>
      </w:r>
      <w:r w:rsidR="006C2594">
        <w:t>BŽ</w:t>
      </w:r>
      <w:r>
        <w:t xml:space="preserve"> </w:t>
      </w:r>
      <w:r w:rsidR="00C35691">
        <w:t xml:space="preserve">kao jedinica područne (regionalne) samouprave u </w:t>
      </w:r>
      <w:r>
        <w:t>kontinuitetu poduzima napore</w:t>
      </w:r>
      <w:r w:rsidR="00EA2A2D" w:rsidRPr="009C042A">
        <w:t xml:space="preserve"> na jačanju privlačnosti za život i rad</w:t>
      </w:r>
      <w:r w:rsidR="00C35691">
        <w:t xml:space="preserve"> na</w:t>
      </w:r>
      <w:r w:rsidR="00EA2A2D" w:rsidRPr="009C042A">
        <w:t xml:space="preserve"> </w:t>
      </w:r>
      <w:r w:rsidR="00C35691">
        <w:t xml:space="preserve">svom </w:t>
      </w:r>
      <w:r w:rsidR="00EA2A2D" w:rsidRPr="009C042A">
        <w:t>području</w:t>
      </w:r>
      <w:r w:rsidR="00C35691">
        <w:t xml:space="preserve"> </w:t>
      </w:r>
      <w:r w:rsidR="00EA2A2D" w:rsidRPr="009C042A">
        <w:t xml:space="preserve">te na </w:t>
      </w:r>
      <w:r w:rsidR="00C35691">
        <w:t xml:space="preserve">stvaranju </w:t>
      </w:r>
      <w:r w:rsidR="00EA2A2D" w:rsidRPr="009C042A">
        <w:t>uvjeta za ostanak i dostojanstven život građana</w:t>
      </w:r>
      <w:r>
        <w:t xml:space="preserve">. </w:t>
      </w:r>
      <w:r w:rsidR="00EA2A2D" w:rsidRPr="009C042A">
        <w:t xml:space="preserve"> </w:t>
      </w:r>
      <w:r>
        <w:t>N</w:t>
      </w:r>
      <w:r w:rsidR="00EA2A2D" w:rsidRPr="009C042A">
        <w:t xml:space="preserve">ajvažniji  </w:t>
      </w:r>
      <w:r w:rsidR="006C2594">
        <w:t>napor</w:t>
      </w:r>
      <w:r w:rsidR="00EA2A2D" w:rsidRPr="009C042A">
        <w:t xml:space="preserve"> kojeg mogu učiniti dionici razvoja na lokalnoj i regionalnoj razini, </w:t>
      </w:r>
      <w:r>
        <w:t>vodeći se</w:t>
      </w:r>
      <w:r w:rsidR="00EA2A2D" w:rsidRPr="009C042A">
        <w:t xml:space="preserve"> </w:t>
      </w:r>
      <w:r>
        <w:t xml:space="preserve">ciljevima </w:t>
      </w:r>
      <w:r w:rsidR="00EA2A2D" w:rsidRPr="009C042A">
        <w:t>javni</w:t>
      </w:r>
      <w:r>
        <w:t>h</w:t>
      </w:r>
      <w:r w:rsidR="00EA2A2D" w:rsidRPr="009C042A">
        <w:t xml:space="preserve"> politika</w:t>
      </w:r>
      <w:r>
        <w:t xml:space="preserve"> i podrškom njihovih nositelja,</w:t>
      </w:r>
      <w:r w:rsidR="00CB5311">
        <w:t xml:space="preserve"> predstavlja kontinuitet u promišljanju i provedbi razvojnih projekata.</w:t>
      </w:r>
      <w:r>
        <w:t xml:space="preserve"> </w:t>
      </w:r>
      <w:r w:rsidR="00CB5311">
        <w:t>Fokus razvoj</w:t>
      </w:r>
      <w:r w:rsidR="006C2594">
        <w:t>a</w:t>
      </w:r>
      <w:r w:rsidR="00CB5311">
        <w:t xml:space="preserve"> stavljen je na provedbu mjera demografske politike,</w:t>
      </w:r>
      <w:r w:rsidR="00EA2A2D" w:rsidRPr="009C042A">
        <w:t xml:space="preserve"> jačanje gospodarskih aktivnosti</w:t>
      </w:r>
      <w:r w:rsidR="00FC6B57" w:rsidRPr="009C042A">
        <w:t xml:space="preserve"> kojim bi se osigurao povratak dijela iseljenih i useljavanje novih stanovnika</w:t>
      </w:r>
      <w:r w:rsidR="00EA2A2D" w:rsidRPr="009C042A">
        <w:t>, osiguravanje sveobuhvatne predškolske skrbi, jačanje obrazovnog, zdravstvenog</w:t>
      </w:r>
      <w:r w:rsidR="00FC6B57" w:rsidRPr="009C042A">
        <w:t xml:space="preserve"> i</w:t>
      </w:r>
      <w:r w:rsidR="00EA2A2D" w:rsidRPr="009C042A">
        <w:t xml:space="preserve"> </w:t>
      </w:r>
      <w:r w:rsidR="00FC6B57" w:rsidRPr="009C042A">
        <w:t xml:space="preserve">sektora </w:t>
      </w:r>
      <w:r w:rsidR="00EA2A2D" w:rsidRPr="009C042A">
        <w:t>socijaln</w:t>
      </w:r>
      <w:r w:rsidR="00FC6B57" w:rsidRPr="009C042A">
        <w:t>e skrbi</w:t>
      </w:r>
      <w:r w:rsidR="00EA2A2D" w:rsidRPr="009C042A">
        <w:t>,</w:t>
      </w:r>
      <w:r w:rsidR="00FC6B57" w:rsidRPr="009C042A">
        <w:t xml:space="preserve"> unaprjeđenje</w:t>
      </w:r>
      <w:r w:rsidR="00EA2A2D" w:rsidRPr="009C042A">
        <w:t xml:space="preserve"> </w:t>
      </w:r>
      <w:r w:rsidR="00FC6B57" w:rsidRPr="009C042A">
        <w:t>prometne povezanosti</w:t>
      </w:r>
      <w:r w:rsidR="009861FF">
        <w:t xml:space="preserve"> </w:t>
      </w:r>
      <w:r w:rsidR="00E54978">
        <w:t>-</w:t>
      </w:r>
      <w:r w:rsidR="009861FF">
        <w:t xml:space="preserve"> osobito javnog prijevoza</w:t>
      </w:r>
      <w:r w:rsidR="00EA2A2D" w:rsidRPr="009C042A">
        <w:t xml:space="preserve">, </w:t>
      </w:r>
      <w:r w:rsidR="00FC6B57" w:rsidRPr="009C042A">
        <w:t xml:space="preserve">revitalizacija bivših industrijskih i ruralnih područja, </w:t>
      </w:r>
      <w:r w:rsidR="00EA2A2D" w:rsidRPr="009C042A">
        <w:t>uz brigu za očuvanje kulturne i prirodne baštine i okoliša</w:t>
      </w:r>
      <w:r w:rsidR="00BB7155">
        <w:t xml:space="preserve"> i drugih</w:t>
      </w:r>
      <w:r w:rsidR="00FC6B57" w:rsidRPr="009C042A">
        <w:t xml:space="preserve"> aktivnosti kojima će se osigurati daljnji razvoj i napredak svih dijelova OBŽ</w:t>
      </w:r>
      <w:r w:rsidR="006C2594">
        <w:t xml:space="preserve"> i doprinijeti ujednačenom razvoju Republike Hrvatske.</w:t>
      </w:r>
    </w:p>
    <w:p w14:paraId="58368AC8" w14:textId="77777777" w:rsidR="00F7167A" w:rsidRDefault="00ED0EF9" w:rsidP="006C27EF">
      <w:pPr>
        <w:pStyle w:val="Default"/>
        <w:spacing w:line="360" w:lineRule="auto"/>
        <w:jc w:val="both"/>
      </w:pPr>
      <w:r>
        <w:t xml:space="preserve">Jedan od značajnih </w:t>
      </w:r>
      <w:r w:rsidR="00CA5585" w:rsidRPr="009C042A">
        <w:t>izazov</w:t>
      </w:r>
      <w:r>
        <w:t>a</w:t>
      </w:r>
      <w:r w:rsidR="00CA5585" w:rsidRPr="009C042A">
        <w:t xml:space="preserve"> predstavlja osiguravanje izvora (su)financiranja za realizaciju ulaganja u gospodarsku, društvenu i komunalnu infrastrukturu, osobito u ekonomski nestabilnom razdoblju. </w:t>
      </w:r>
    </w:p>
    <w:p w14:paraId="088E936C" w14:textId="77777777" w:rsidR="00F93880" w:rsidRDefault="00F93880" w:rsidP="006C27EF">
      <w:pPr>
        <w:pStyle w:val="Default"/>
        <w:spacing w:line="360" w:lineRule="auto"/>
        <w:jc w:val="both"/>
      </w:pPr>
    </w:p>
    <w:p w14:paraId="6BD1269B" w14:textId="726AE33A" w:rsidR="0005244B" w:rsidRDefault="00CA5585" w:rsidP="006C27EF">
      <w:pPr>
        <w:pStyle w:val="Default"/>
        <w:spacing w:line="360" w:lineRule="auto"/>
        <w:jc w:val="both"/>
      </w:pPr>
      <w:r w:rsidRPr="009C042A">
        <w:t>Unatoč značajnim postignućima u provedbi dijela strateških projekata zacrtanih Planom razvoja, niz pripremljenih i za realizacij</w:t>
      </w:r>
      <w:r w:rsidR="00E47B5A" w:rsidRPr="009C042A">
        <w:t>u</w:t>
      </w:r>
      <w:r w:rsidRPr="009C042A">
        <w:t xml:space="preserve"> spremnih projekata od strateške važnosti za </w:t>
      </w:r>
      <w:r w:rsidR="009733DD">
        <w:t xml:space="preserve">ostvarenje </w:t>
      </w:r>
      <w:r w:rsidRPr="009C042A">
        <w:lastRenderedPageBreak/>
        <w:t>posebn</w:t>
      </w:r>
      <w:r w:rsidR="009733DD">
        <w:t>ih</w:t>
      </w:r>
      <w:r w:rsidR="00396A29" w:rsidRPr="009C042A">
        <w:t xml:space="preserve"> </w:t>
      </w:r>
      <w:r w:rsidR="00E552B5">
        <w:t xml:space="preserve">razvojnih </w:t>
      </w:r>
      <w:r w:rsidRPr="009C042A">
        <w:t>ciljev</w:t>
      </w:r>
      <w:r w:rsidR="009733DD">
        <w:t>a</w:t>
      </w:r>
      <w:r w:rsidR="00E81F16" w:rsidRPr="009C042A">
        <w:t xml:space="preserve"> OBŽ</w:t>
      </w:r>
      <w:r w:rsidR="009733DD">
        <w:t>,</w:t>
      </w:r>
      <w:r w:rsidRPr="009C042A">
        <w:t xml:space="preserve"> </w:t>
      </w:r>
      <w:r w:rsidR="00F7167A">
        <w:t>spreman</w:t>
      </w:r>
      <w:r w:rsidRPr="009C042A">
        <w:t xml:space="preserve"> </w:t>
      </w:r>
      <w:r w:rsidR="00F7167A">
        <w:t>je za</w:t>
      </w:r>
      <w:r w:rsidR="00650AF8">
        <w:t xml:space="preserve"> prijavu</w:t>
      </w:r>
      <w:r w:rsidRPr="009C042A">
        <w:t xml:space="preserve"> na</w:t>
      </w:r>
      <w:r w:rsidR="00650AF8">
        <w:t xml:space="preserve"> pozive za sufinanciranje iz dostupnih EU i ostalih </w:t>
      </w:r>
      <w:r w:rsidR="001B7E1B">
        <w:t xml:space="preserve">izvora, </w:t>
      </w:r>
      <w:r w:rsidR="00DF1A71">
        <w:t>što se očekuje u slijedećem izvještajnom razdoblju.</w:t>
      </w:r>
      <w:r w:rsidRPr="009C042A">
        <w:t xml:space="preserve"> </w:t>
      </w:r>
      <w:r w:rsidR="00134E28">
        <w:t>Provedbu razvojnih projekata dodatno otežavaju o</w:t>
      </w:r>
      <w:r w:rsidR="009B0CD7">
        <w:t xml:space="preserve">kolnost </w:t>
      </w:r>
      <w:r w:rsidR="00134E28">
        <w:t>vezane za širi ekonomsko-politički kontekst (</w:t>
      </w:r>
      <w:r w:rsidR="009733DD">
        <w:t>negativ</w:t>
      </w:r>
      <w:r w:rsidR="009B0CD7">
        <w:t>an</w:t>
      </w:r>
      <w:r w:rsidR="009733DD">
        <w:t xml:space="preserve"> utjecaj </w:t>
      </w:r>
      <w:r w:rsidRPr="009C042A">
        <w:t>fluktuacija cijena energenata, materijala i radne snage</w:t>
      </w:r>
      <w:r w:rsidR="00134E28">
        <w:t xml:space="preserve"> i drugih faktora).</w:t>
      </w:r>
      <w:r w:rsidR="00396A29" w:rsidRPr="009C042A">
        <w:t xml:space="preserve"> </w:t>
      </w:r>
    </w:p>
    <w:bookmarkEnd w:id="59"/>
    <w:p w14:paraId="3FE24BAA" w14:textId="77777777" w:rsidR="006F6F92" w:rsidRDefault="006F6F92" w:rsidP="006C27EF">
      <w:pPr>
        <w:pStyle w:val="Default"/>
        <w:spacing w:line="360" w:lineRule="auto"/>
        <w:jc w:val="both"/>
      </w:pPr>
    </w:p>
    <w:p w14:paraId="37D821F7" w14:textId="799BC416" w:rsidR="005D707A" w:rsidRDefault="005D707A" w:rsidP="0005244B">
      <w:pPr>
        <w:pStyle w:val="Default"/>
        <w:spacing w:after="240" w:line="360" w:lineRule="auto"/>
        <w:jc w:val="both"/>
        <w:outlineLvl w:val="0"/>
        <w:rPr>
          <w:b/>
        </w:rPr>
      </w:pPr>
      <w:bookmarkStart w:id="60" w:name="_Toc128473064"/>
      <w:r>
        <w:rPr>
          <w:b/>
        </w:rPr>
        <w:t>Metodološke napomene</w:t>
      </w:r>
      <w:bookmarkEnd w:id="60"/>
    </w:p>
    <w:p w14:paraId="67BE8B82" w14:textId="65D4795B" w:rsidR="005D707A" w:rsidRPr="005D707A" w:rsidRDefault="005D707A" w:rsidP="005D707A">
      <w:pPr>
        <w:pStyle w:val="Default"/>
        <w:spacing w:after="240" w:line="360" w:lineRule="auto"/>
        <w:jc w:val="both"/>
      </w:pPr>
      <w:r>
        <w:t xml:space="preserve">Godišnje izvješće sadrži najnovije dostupne podatke za pojedini pokazatelj ishoda. Godina na koju se podatak odnosi i relevantni izvori za podatak navedeni su u stupcu </w:t>
      </w:r>
      <w:r w:rsidR="00595A57">
        <w:t>"</w:t>
      </w:r>
      <w:r w:rsidR="000518FC">
        <w:t>Godina i izvor podataka</w:t>
      </w:r>
      <w:r w:rsidR="00595A57">
        <w:t>"</w:t>
      </w:r>
      <w:r>
        <w:t xml:space="preserve"> Priloga </w:t>
      </w:r>
      <w:r w:rsidR="000518FC">
        <w:t>1</w:t>
      </w:r>
      <w:r>
        <w:t>.</w:t>
      </w:r>
      <w:r w:rsidR="00C06C75">
        <w:t xml:space="preserve"> </w:t>
      </w:r>
    </w:p>
    <w:p w14:paraId="0719FEFE" w14:textId="12BA7438" w:rsidR="0005244B" w:rsidRPr="0005244B" w:rsidRDefault="0005244B" w:rsidP="0005244B">
      <w:pPr>
        <w:pStyle w:val="Default"/>
        <w:spacing w:after="240" w:line="360" w:lineRule="auto"/>
        <w:jc w:val="both"/>
        <w:outlineLvl w:val="0"/>
        <w:rPr>
          <w:b/>
        </w:rPr>
      </w:pPr>
      <w:bookmarkStart w:id="61" w:name="_Toc128473065"/>
      <w:r w:rsidRPr="0005244B">
        <w:rPr>
          <w:b/>
        </w:rPr>
        <w:t xml:space="preserve">Prilog </w:t>
      </w:r>
      <w:r w:rsidR="000518FC">
        <w:rPr>
          <w:b/>
        </w:rPr>
        <w:t>1</w:t>
      </w:r>
      <w:r w:rsidRPr="0005244B">
        <w:rPr>
          <w:b/>
        </w:rPr>
        <w:t>.</w:t>
      </w:r>
      <w:bookmarkEnd w:id="61"/>
      <w:r w:rsidRPr="0005244B">
        <w:rPr>
          <w:b/>
        </w:rPr>
        <w:t xml:space="preserve"> </w:t>
      </w:r>
    </w:p>
    <w:p w14:paraId="0DA86841" w14:textId="49E24FA7" w:rsidR="00D867BD" w:rsidRDefault="00C06C75" w:rsidP="004B6871">
      <w:pPr>
        <w:pStyle w:val="Default"/>
        <w:spacing w:after="240" w:line="360" w:lineRule="auto"/>
        <w:jc w:val="both"/>
      </w:pPr>
      <w:r>
        <w:t xml:space="preserve">Podaci za izradu </w:t>
      </w:r>
      <w:r w:rsidR="0005244B">
        <w:t>Godišnje</w:t>
      </w:r>
      <w:r>
        <w:t>g</w:t>
      </w:r>
      <w:r w:rsidR="0005244B">
        <w:t xml:space="preserve"> izvješć</w:t>
      </w:r>
      <w:r>
        <w:t>a</w:t>
      </w:r>
      <w:r w:rsidR="0005244B">
        <w:t xml:space="preserve"> o provedbi Plana razvoja Osječko-baranjske županije za razdoblje do 2027. godine za 202</w:t>
      </w:r>
      <w:r w:rsidR="00885BC3">
        <w:t>3</w:t>
      </w:r>
      <w:r w:rsidR="0005244B">
        <w:t>. godinu priložen</w:t>
      </w:r>
      <w:r>
        <w:t>i su</w:t>
      </w:r>
      <w:r w:rsidR="0005244B">
        <w:t xml:space="preserve"> u Excelu.</w:t>
      </w:r>
    </w:p>
    <w:p w14:paraId="06870702" w14:textId="1B38ADC6" w:rsidR="004B6871" w:rsidRDefault="004B6871" w:rsidP="00FC6B57">
      <w:pPr>
        <w:pStyle w:val="Default"/>
        <w:spacing w:line="360" w:lineRule="auto"/>
        <w:jc w:val="both"/>
      </w:pPr>
      <w:r>
        <w:t>U tablici su navedeni sljedeći podaci:</w:t>
      </w:r>
    </w:p>
    <w:p w14:paraId="12247211" w14:textId="5C156A3E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Redni broj posebnog cilja</w:t>
      </w:r>
    </w:p>
    <w:p w14:paraId="00DD3F05" w14:textId="3956FF36" w:rsidR="004B6871" w:rsidRDefault="00177690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Razvojni smjer </w:t>
      </w:r>
      <w:r w:rsidR="004B6871">
        <w:t>NRS</w:t>
      </w:r>
      <w:r>
        <w:t>-a</w:t>
      </w:r>
      <w:r w:rsidR="004B6871">
        <w:t xml:space="preserve"> 2030</w:t>
      </w:r>
      <w:r>
        <w:t>.</w:t>
      </w:r>
    </w:p>
    <w:p w14:paraId="71E20876" w14:textId="710B62F4" w:rsidR="004B6871" w:rsidRDefault="00177690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Strateški cilj </w:t>
      </w:r>
      <w:r w:rsidR="004B6871">
        <w:t>NRS</w:t>
      </w:r>
      <w:r>
        <w:t>-a</w:t>
      </w:r>
      <w:r w:rsidR="004B6871">
        <w:t xml:space="preserve"> 2030</w:t>
      </w:r>
      <w:r>
        <w:t>.</w:t>
      </w:r>
    </w:p>
    <w:p w14:paraId="4686942A" w14:textId="410E2EA9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Pokazatelj i ciljna v</w:t>
      </w:r>
      <w:r w:rsidR="00177690">
        <w:t xml:space="preserve">rijednost pokazatelja učinka </w:t>
      </w:r>
      <w:r>
        <w:t>NRS</w:t>
      </w:r>
      <w:r w:rsidR="00177690">
        <w:t>-a</w:t>
      </w:r>
      <w:r>
        <w:t xml:space="preserve"> 2030</w:t>
      </w:r>
      <w:r w:rsidR="00177690">
        <w:t>.</w:t>
      </w:r>
    </w:p>
    <w:p w14:paraId="6F0C9A47" w14:textId="5820D106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Naziv posebnog cilja </w:t>
      </w:r>
    </w:p>
    <w:p w14:paraId="2347CB35" w14:textId="2E150DE3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Oznaka pokazatelja ishoda</w:t>
      </w:r>
    </w:p>
    <w:p w14:paraId="144B76B1" w14:textId="5B1C898D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Pokazatelj ishoda</w:t>
      </w:r>
    </w:p>
    <w:p w14:paraId="78C29008" w14:textId="70D5CFCB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Početna vrijednost pokazatelja ishoda</w:t>
      </w:r>
    </w:p>
    <w:p w14:paraId="4E27067A" w14:textId="390D3740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Ciljna vrijednost pokazatelja ishoda</w:t>
      </w:r>
    </w:p>
    <w:p w14:paraId="77845852" w14:textId="6880FA5D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Ostvarena vrijednost pokazatelja ishoda</w:t>
      </w:r>
    </w:p>
    <w:p w14:paraId="2B3D44B1" w14:textId="3B49A6C0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Godina i izvor podatka</w:t>
      </w:r>
    </w:p>
    <w:p w14:paraId="3711A73D" w14:textId="0A427A89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Ukupan iznos sredstava utrošenih za provedbu posebnog cilja </w:t>
      </w:r>
      <w:r w:rsidR="00595A57">
        <w:t xml:space="preserve">EUR </w:t>
      </w:r>
      <w:r>
        <w:t>(HRK)</w:t>
      </w:r>
    </w:p>
    <w:p w14:paraId="138EFA8E" w14:textId="54A11E6E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Izvor financiranja u proračunu JLP(R)S</w:t>
      </w:r>
    </w:p>
    <w:p w14:paraId="1B2AD103" w14:textId="7DFFC5E4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Doprinos zelenoj tranziciji</w:t>
      </w:r>
      <w:r w:rsidR="00177690">
        <w:t xml:space="preserve"> (DA/NE)</w:t>
      </w:r>
    </w:p>
    <w:p w14:paraId="44194098" w14:textId="5857BF8D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Doprinos digitalnoj transformaciji</w:t>
      </w:r>
      <w:r w:rsidR="00177690">
        <w:t xml:space="preserve"> (DA/NE)</w:t>
      </w:r>
    </w:p>
    <w:p w14:paraId="1F5852D6" w14:textId="205373AE" w:rsidR="004B6871" w:rsidRDefault="004B6871" w:rsidP="004B6871">
      <w:pPr>
        <w:pStyle w:val="Default"/>
        <w:numPr>
          <w:ilvl w:val="0"/>
          <w:numId w:val="5"/>
        </w:numPr>
        <w:spacing w:line="360" w:lineRule="auto"/>
        <w:jc w:val="both"/>
      </w:pPr>
      <w:r>
        <w:t>Doprinos ciljevima održivog razvoja (SDG)</w:t>
      </w:r>
    </w:p>
    <w:p w14:paraId="6C3E2B21" w14:textId="77777777" w:rsidR="003B03FB" w:rsidRDefault="003B03FB" w:rsidP="003B03FB">
      <w:pPr>
        <w:pStyle w:val="Default"/>
        <w:spacing w:line="360" w:lineRule="auto"/>
        <w:jc w:val="both"/>
      </w:pPr>
    </w:p>
    <w:p w14:paraId="7E91CF9F" w14:textId="77777777" w:rsidR="003B03FB" w:rsidRDefault="003B03FB" w:rsidP="003B03FB">
      <w:pPr>
        <w:pStyle w:val="Default"/>
        <w:spacing w:line="360" w:lineRule="auto"/>
        <w:jc w:val="both"/>
      </w:pPr>
    </w:p>
    <w:p w14:paraId="58ED6619" w14:textId="77777777" w:rsidR="00A04AAD" w:rsidRPr="003B03FB" w:rsidRDefault="00A04AAD" w:rsidP="00A04AAD">
      <w:pPr>
        <w:spacing w:after="0"/>
        <w:rPr>
          <w:rFonts w:ascii="Times New Roman" w:hAnsi="Times New Roman" w:cs="Times New Roman"/>
        </w:rPr>
      </w:pPr>
      <w:r w:rsidRPr="003B03FB">
        <w:rPr>
          <w:rFonts w:ascii="Times New Roman" w:hAnsi="Times New Roman" w:cs="Times New Roman"/>
        </w:rPr>
        <w:lastRenderedPageBreak/>
        <w:t xml:space="preserve">KLASA: </w:t>
      </w:r>
    </w:p>
    <w:p w14:paraId="2672B875" w14:textId="77777777" w:rsidR="00A04AAD" w:rsidRPr="003B03FB" w:rsidRDefault="00A04AAD" w:rsidP="00A04AAD">
      <w:pPr>
        <w:spacing w:after="0"/>
        <w:rPr>
          <w:rFonts w:ascii="Times New Roman" w:hAnsi="Times New Roman" w:cs="Times New Roman"/>
        </w:rPr>
      </w:pPr>
      <w:r w:rsidRPr="003B03FB">
        <w:rPr>
          <w:rFonts w:ascii="Times New Roman" w:hAnsi="Times New Roman" w:cs="Times New Roman"/>
        </w:rPr>
        <w:t xml:space="preserve">URBROJ: </w:t>
      </w:r>
    </w:p>
    <w:p w14:paraId="1D86A297" w14:textId="77777777" w:rsidR="00A04AAD" w:rsidRPr="003B03FB" w:rsidRDefault="00A04AAD" w:rsidP="00A04AAD">
      <w:pPr>
        <w:spacing w:after="0"/>
        <w:rPr>
          <w:rFonts w:ascii="Times New Roman" w:hAnsi="Times New Roman" w:cs="Times New Roman"/>
        </w:rPr>
      </w:pPr>
    </w:p>
    <w:p w14:paraId="51182DA8" w14:textId="7709396F" w:rsidR="00A04AAD" w:rsidRPr="003B03FB" w:rsidRDefault="00A04AAD" w:rsidP="00A04AA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B03FB">
        <w:rPr>
          <w:rStyle w:val="fontstyle01"/>
          <w:rFonts w:ascii="Times New Roman" w:hAnsi="Times New Roman" w:cs="Times New Roman"/>
        </w:rPr>
        <w:t xml:space="preserve">Temeljem članka 23. stavak 6. </w:t>
      </w:r>
      <w:r w:rsidRPr="003B03FB">
        <w:rPr>
          <w:rFonts w:ascii="Times New Roman" w:hAnsi="Times New Roman" w:cs="Times New Roman"/>
          <w:color w:val="000000"/>
          <w:lang w:eastAsia="hr-HR"/>
        </w:rPr>
        <w:t>Zakona o sustavu strateškog planiranja i upravljanja razvojem Republike Hrvatske (</w:t>
      </w:r>
      <w:r w:rsidRPr="003B03FB">
        <w:rPr>
          <w:rStyle w:val="fontstyle01"/>
          <w:rFonts w:ascii="Times New Roman" w:hAnsi="Times New Roman" w:cs="Times New Roman"/>
        </w:rPr>
        <w:t>"</w:t>
      </w:r>
      <w:r w:rsidRPr="003B03FB">
        <w:rPr>
          <w:rFonts w:ascii="Times New Roman" w:hAnsi="Times New Roman" w:cs="Times New Roman"/>
          <w:color w:val="000000"/>
          <w:lang w:eastAsia="hr-HR"/>
        </w:rPr>
        <w:t>Narodne novine</w:t>
      </w:r>
      <w:r w:rsidRPr="003B03FB">
        <w:rPr>
          <w:rStyle w:val="fontstyle01"/>
          <w:rFonts w:ascii="Times New Roman" w:hAnsi="Times New Roman" w:cs="Times New Roman"/>
        </w:rPr>
        <w:t>"</w:t>
      </w:r>
      <w:r w:rsidRPr="003B03FB">
        <w:rPr>
          <w:rFonts w:ascii="Times New Roman" w:hAnsi="Times New Roman" w:cs="Times New Roman"/>
          <w:color w:val="000000"/>
          <w:lang w:eastAsia="hr-HR"/>
        </w:rPr>
        <w:t xml:space="preserve"> broj 123/17. i 151/22.)</w:t>
      </w:r>
      <w:r w:rsidRPr="003B03FB">
        <w:rPr>
          <w:rStyle w:val="fontstyle01"/>
          <w:rFonts w:ascii="Times New Roman" w:hAnsi="Times New Roman" w:cs="Times New Roman"/>
        </w:rPr>
        <w:t xml:space="preserve"> i članka </w:t>
      </w:r>
      <w:r w:rsidRPr="003B03FB">
        <w:rPr>
          <w:rFonts w:ascii="Times New Roman" w:hAnsi="Times New Roman" w:cs="Times New Roman"/>
          <w:lang w:eastAsia="hr-HR"/>
        </w:rPr>
        <w:t>30. točk</w:t>
      </w:r>
      <w:r>
        <w:rPr>
          <w:rFonts w:ascii="Times New Roman" w:hAnsi="Times New Roman" w:cs="Times New Roman"/>
          <w:lang w:eastAsia="hr-HR"/>
        </w:rPr>
        <w:t>e</w:t>
      </w:r>
      <w:r w:rsidRPr="003B03FB">
        <w:rPr>
          <w:rFonts w:ascii="Times New Roman" w:hAnsi="Times New Roman" w:cs="Times New Roman"/>
          <w:lang w:eastAsia="hr-HR"/>
        </w:rPr>
        <w:t xml:space="preserve"> 2. i 24. </w:t>
      </w:r>
      <w:r w:rsidRPr="003B03FB">
        <w:rPr>
          <w:rStyle w:val="fontstyle01"/>
          <w:rFonts w:ascii="Times New Roman" w:hAnsi="Times New Roman" w:cs="Times New Roman"/>
        </w:rPr>
        <w:t>Statuta Osječko-baranjske županije ("Županijski glasnik" broj 2/95., 2/97., 3/99., 3/01., 8/01., 9/03., 13/05., 2/06., 5/09., 16/09., 2/13., 4/18., 2/20. i 2/21.), a u svezi</w:t>
      </w:r>
      <w:r w:rsidRPr="003B03FB">
        <w:rPr>
          <w:rStyle w:val="fontstyle01"/>
          <w:rFonts w:ascii="Times New Roman" w:hAnsi="Times New Roman" w:cs="Times New Roman"/>
          <w:lang w:val="pl-PL"/>
        </w:rPr>
        <w:t xml:space="preserve"> članka 13. stavak 1. </w:t>
      </w:r>
      <w:r w:rsidRPr="003B03FB">
        <w:rPr>
          <w:rFonts w:ascii="Times New Roman" w:hAnsi="Times New Roman" w:cs="Times New Roman"/>
        </w:rPr>
        <w:t>Pravilnika o rokovima i postupcima praćenja i izvje</w:t>
      </w:r>
      <w:r>
        <w:rPr>
          <w:rFonts w:ascii="Times New Roman" w:hAnsi="Times New Roman" w:cs="Times New Roman"/>
        </w:rPr>
        <w:t>šćivanja</w:t>
      </w:r>
      <w:r w:rsidRPr="003B03FB">
        <w:rPr>
          <w:rFonts w:ascii="Times New Roman" w:hAnsi="Times New Roman" w:cs="Times New Roman"/>
        </w:rPr>
        <w:t xml:space="preserve"> o provedbi akata strateškog planiranja od nacionalnog značaja i od značaja za jedinice lokalne i područne (regionalne) samouprave (</w:t>
      </w:r>
      <w:r w:rsidRPr="003B03FB">
        <w:rPr>
          <w:rStyle w:val="fontstyle01"/>
          <w:rFonts w:ascii="Times New Roman" w:hAnsi="Times New Roman" w:cs="Times New Roman"/>
        </w:rPr>
        <w:t>"</w:t>
      </w:r>
      <w:r w:rsidRPr="003B03FB">
        <w:rPr>
          <w:rFonts w:ascii="Times New Roman" w:hAnsi="Times New Roman" w:cs="Times New Roman"/>
        </w:rPr>
        <w:t>Narodne novine</w:t>
      </w:r>
      <w:r w:rsidRPr="003B03FB">
        <w:rPr>
          <w:rStyle w:val="fontstyle01"/>
          <w:rFonts w:ascii="Times New Roman" w:hAnsi="Times New Roman" w:cs="Times New Roman"/>
        </w:rPr>
        <w:t>"</w:t>
      </w:r>
      <w:r w:rsidRPr="003B03FB">
        <w:rPr>
          <w:rFonts w:ascii="Times New Roman" w:hAnsi="Times New Roman" w:cs="Times New Roman"/>
        </w:rPr>
        <w:t xml:space="preserve"> broj 44/23.), </w:t>
      </w:r>
      <w:r>
        <w:rPr>
          <w:rStyle w:val="fontstyle01"/>
          <w:rFonts w:ascii="Times New Roman" w:hAnsi="Times New Roman" w:cs="Times New Roman"/>
        </w:rPr>
        <w:t>S</w:t>
      </w:r>
      <w:r w:rsidRPr="003B03FB">
        <w:rPr>
          <w:rStyle w:val="fontstyle01"/>
          <w:rFonts w:ascii="Times New Roman" w:hAnsi="Times New Roman" w:cs="Times New Roman"/>
        </w:rPr>
        <w:t xml:space="preserve">kupština Osječko-baranjske županije </w:t>
      </w:r>
      <w:r>
        <w:rPr>
          <w:rStyle w:val="fontstyle01"/>
          <w:rFonts w:ascii="Times New Roman" w:hAnsi="Times New Roman" w:cs="Times New Roman"/>
        </w:rPr>
        <w:t>donijela je na ___ sjednici</w:t>
      </w:r>
      <w:r w:rsidRPr="003B03FB">
        <w:rPr>
          <w:rStyle w:val="fontstyle01"/>
          <w:rFonts w:ascii="Times New Roman" w:hAnsi="Times New Roman" w:cs="Times New Roman"/>
        </w:rPr>
        <w:t xml:space="preserve"> </w:t>
      </w:r>
      <w:r w:rsidRPr="003B03FB">
        <w:rPr>
          <w:rFonts w:ascii="Times New Roman" w:hAnsi="Times New Roman" w:cs="Times New Roman"/>
        </w:rPr>
        <w:t>_______________</w:t>
      </w:r>
      <w:r w:rsidRPr="003B03FB">
        <w:rPr>
          <w:rStyle w:val="fontstyle01"/>
          <w:rFonts w:ascii="Times New Roman" w:hAnsi="Times New Roman" w:cs="Times New Roman"/>
        </w:rPr>
        <w:t xml:space="preserve"> 2024. godine</w:t>
      </w:r>
    </w:p>
    <w:p w14:paraId="279C65B7" w14:textId="77777777" w:rsidR="00A04AAD" w:rsidRPr="003B03FB" w:rsidRDefault="00A04AAD" w:rsidP="00A04AAD">
      <w:pPr>
        <w:spacing w:after="0"/>
        <w:rPr>
          <w:rFonts w:ascii="Times New Roman" w:hAnsi="Times New Roman" w:cs="Times New Roman"/>
        </w:rPr>
      </w:pPr>
    </w:p>
    <w:p w14:paraId="35F6F599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3FB">
        <w:rPr>
          <w:rFonts w:ascii="Times New Roman" w:hAnsi="Times New Roman" w:cs="Times New Roman"/>
          <w:b/>
          <w:sz w:val="24"/>
          <w:szCs w:val="24"/>
        </w:rPr>
        <w:t>Z A K 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3FB"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5E38B96F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EC2C6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FB">
        <w:rPr>
          <w:rFonts w:ascii="Times New Roman" w:hAnsi="Times New Roman" w:cs="Times New Roman"/>
          <w:b/>
          <w:sz w:val="24"/>
          <w:szCs w:val="24"/>
        </w:rPr>
        <w:t xml:space="preserve"> o prihvaćanju Godišnjeg izvješća o provedbi </w:t>
      </w:r>
    </w:p>
    <w:p w14:paraId="39F2EB8A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FB">
        <w:rPr>
          <w:rFonts w:ascii="Times New Roman" w:hAnsi="Times New Roman" w:cs="Times New Roman"/>
          <w:b/>
          <w:bCs/>
          <w:sz w:val="24"/>
          <w:szCs w:val="24"/>
        </w:rPr>
        <w:t xml:space="preserve">Plana razvoja Osječko-baranjske županije </w:t>
      </w:r>
    </w:p>
    <w:p w14:paraId="3742DD28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FB">
        <w:rPr>
          <w:rFonts w:ascii="Times New Roman" w:hAnsi="Times New Roman" w:cs="Times New Roman"/>
          <w:b/>
          <w:bCs/>
          <w:sz w:val="24"/>
          <w:szCs w:val="24"/>
        </w:rPr>
        <w:t>za razdoblje do 2027. godine za 2023. godinu</w:t>
      </w:r>
    </w:p>
    <w:p w14:paraId="1B2B2113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Cs/>
        </w:rPr>
      </w:pPr>
    </w:p>
    <w:p w14:paraId="60A08BB3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Cs/>
        </w:rPr>
      </w:pPr>
      <w:r w:rsidRPr="003B03FB">
        <w:rPr>
          <w:rFonts w:ascii="Times New Roman" w:hAnsi="Times New Roman" w:cs="Times New Roman"/>
          <w:bCs/>
        </w:rPr>
        <w:t>I.</w:t>
      </w:r>
    </w:p>
    <w:p w14:paraId="0A1C3BE8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14:paraId="7832D9A4" w14:textId="77777777" w:rsidR="00A04AAD" w:rsidRPr="003B03FB" w:rsidRDefault="00A04AAD" w:rsidP="00A04AAD">
      <w:pPr>
        <w:spacing w:after="0"/>
        <w:ind w:firstLine="708"/>
        <w:rPr>
          <w:rFonts w:ascii="Times New Roman" w:hAnsi="Times New Roman" w:cs="Times New Roman"/>
          <w:bCs/>
        </w:rPr>
      </w:pPr>
      <w:r w:rsidRPr="003B03FB">
        <w:rPr>
          <w:rFonts w:ascii="Times New Roman" w:hAnsi="Times New Roman" w:cs="Times New Roman"/>
          <w:color w:val="000000"/>
        </w:rPr>
        <w:t xml:space="preserve">Skupština prihvaća Godišnje izvješće o provedbi </w:t>
      </w:r>
      <w:r w:rsidRPr="003B03FB">
        <w:rPr>
          <w:rFonts w:ascii="Times New Roman" w:hAnsi="Times New Roman" w:cs="Times New Roman"/>
          <w:bCs/>
        </w:rPr>
        <w:t>Plana razvoja Osječko-baranjske županije za razdoblje do 2027. godine za 2023. godinu.</w:t>
      </w:r>
    </w:p>
    <w:p w14:paraId="51D468C8" w14:textId="77777777" w:rsidR="00A04AAD" w:rsidRPr="003B03FB" w:rsidRDefault="00A04AAD" w:rsidP="00A04AAD">
      <w:pPr>
        <w:spacing w:after="0"/>
        <w:ind w:firstLine="708"/>
        <w:rPr>
          <w:rFonts w:ascii="Times New Roman" w:hAnsi="Times New Roman" w:cs="Times New Roman"/>
          <w:bCs/>
        </w:rPr>
      </w:pPr>
    </w:p>
    <w:p w14:paraId="5CC49267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>II.</w:t>
      </w:r>
    </w:p>
    <w:p w14:paraId="7C3159C6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0C4DF167" w14:textId="77777777" w:rsidR="00A04AAD" w:rsidRPr="003B03FB" w:rsidRDefault="00A04AAD" w:rsidP="00A04AAD">
      <w:pPr>
        <w:spacing w:after="0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ab/>
        <w:t>Zadužuje se regionalni koordinator Javna ustanova Županijska razvojna agencija Osječko-baranjske županije za dostavu Godišnjeg izvješća iz točke I. ovoga Zaključka Koordinacijskom tijelu, a sukladno Zakonu o sustavu strateškog planiranja i upravljanja razvojem Republike Hrvatske.</w:t>
      </w:r>
    </w:p>
    <w:p w14:paraId="2532A242" w14:textId="77777777" w:rsidR="00A04AAD" w:rsidRPr="003B03FB" w:rsidRDefault="00A04AAD" w:rsidP="00A04AAD">
      <w:pPr>
        <w:spacing w:after="0"/>
        <w:rPr>
          <w:rFonts w:ascii="Times New Roman" w:hAnsi="Times New Roman" w:cs="Times New Roman"/>
          <w:color w:val="000000"/>
        </w:rPr>
      </w:pPr>
    </w:p>
    <w:p w14:paraId="22878D67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>III.</w:t>
      </w:r>
    </w:p>
    <w:p w14:paraId="45487093" w14:textId="77777777" w:rsidR="00A04AAD" w:rsidRPr="003B03FB" w:rsidRDefault="00A04AAD" w:rsidP="00A04AAD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07138E2C" w14:textId="77777777" w:rsidR="00A04AAD" w:rsidRPr="003B03FB" w:rsidRDefault="00A04AAD" w:rsidP="00A04AAD">
      <w:pPr>
        <w:spacing w:after="0"/>
        <w:ind w:firstLine="708"/>
        <w:rPr>
          <w:rFonts w:ascii="Times New Roman" w:hAnsi="Times New Roman" w:cs="Times New Roman"/>
          <w:bCs/>
          <w:color w:val="000000"/>
        </w:rPr>
      </w:pPr>
      <w:r w:rsidRPr="003B03FB">
        <w:rPr>
          <w:rFonts w:ascii="Times New Roman" w:hAnsi="Times New Roman" w:cs="Times New Roman"/>
          <w:bCs/>
          <w:color w:val="000000"/>
        </w:rPr>
        <w:t xml:space="preserve">Ovaj Zaključak </w:t>
      </w:r>
      <w:r w:rsidRPr="003B03FB">
        <w:rPr>
          <w:rFonts w:ascii="Times New Roman" w:hAnsi="Times New Roman" w:cs="Times New Roman"/>
          <w:bCs/>
        </w:rPr>
        <w:t xml:space="preserve">bit će objavljen u </w:t>
      </w:r>
      <w:r w:rsidRPr="003B03FB">
        <w:rPr>
          <w:rFonts w:ascii="Times New Roman" w:hAnsi="Times New Roman" w:cs="Times New Roman"/>
        </w:rPr>
        <w:t xml:space="preserve">"Županijskom glasniku", a </w:t>
      </w:r>
      <w:r w:rsidRPr="003B03FB">
        <w:rPr>
          <w:rFonts w:ascii="Times New Roman" w:hAnsi="Times New Roman" w:cs="Times New Roman"/>
          <w:color w:val="000000"/>
        </w:rPr>
        <w:t xml:space="preserve">Godišnje izvješće o provedbi </w:t>
      </w:r>
      <w:r w:rsidRPr="003B03FB">
        <w:rPr>
          <w:rFonts w:ascii="Times New Roman" w:hAnsi="Times New Roman" w:cs="Times New Roman"/>
          <w:bCs/>
        </w:rPr>
        <w:t xml:space="preserve">Plana razvoja Osječko-baranjske županije za razdoblje do 2027. godine za 2023. godinu s prilogom bit će objavljeno </w:t>
      </w:r>
      <w:r w:rsidRPr="003B03FB">
        <w:rPr>
          <w:rFonts w:ascii="Times New Roman" w:hAnsi="Times New Roman" w:cs="Times New Roman"/>
        </w:rPr>
        <w:t>na internetskoj stranici Osječko-baranjske županije</w:t>
      </w:r>
      <w:r w:rsidRPr="003B03FB">
        <w:rPr>
          <w:rFonts w:ascii="Times New Roman" w:hAnsi="Times New Roman" w:cs="Times New Roman"/>
          <w:color w:val="000000"/>
        </w:rPr>
        <w:t>.</w:t>
      </w:r>
    </w:p>
    <w:p w14:paraId="1441EE80" w14:textId="77777777" w:rsidR="00A04AAD" w:rsidRPr="003B03FB" w:rsidRDefault="00A04AAD" w:rsidP="00A04AAD">
      <w:pPr>
        <w:tabs>
          <w:tab w:val="center" w:pos="7655"/>
        </w:tabs>
        <w:spacing w:after="0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ab/>
      </w:r>
    </w:p>
    <w:p w14:paraId="40676709" w14:textId="77777777" w:rsidR="00A04AAD" w:rsidRPr="003B03FB" w:rsidRDefault="00A04AAD" w:rsidP="00A04AAD">
      <w:pPr>
        <w:tabs>
          <w:tab w:val="center" w:pos="7655"/>
        </w:tabs>
        <w:spacing w:after="0"/>
        <w:rPr>
          <w:rFonts w:ascii="Times New Roman" w:hAnsi="Times New Roman" w:cs="Times New Roman"/>
          <w:color w:val="000000"/>
        </w:rPr>
      </w:pPr>
    </w:p>
    <w:p w14:paraId="59E8A97F" w14:textId="77777777" w:rsidR="00A04AAD" w:rsidRPr="003B03FB" w:rsidRDefault="00A04AAD" w:rsidP="00A04AAD">
      <w:pPr>
        <w:tabs>
          <w:tab w:val="center" w:pos="7655"/>
        </w:tabs>
        <w:spacing w:after="0"/>
        <w:rPr>
          <w:rFonts w:ascii="Times New Roman" w:hAnsi="Times New Roman" w:cs="Times New Roman"/>
          <w:color w:val="000000"/>
        </w:rPr>
      </w:pPr>
    </w:p>
    <w:p w14:paraId="4DBB5630" w14:textId="77777777" w:rsidR="00A04AAD" w:rsidRPr="003B03FB" w:rsidRDefault="00A04AAD" w:rsidP="00A04AAD">
      <w:pPr>
        <w:tabs>
          <w:tab w:val="center" w:pos="7655"/>
        </w:tabs>
        <w:spacing w:after="0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ab/>
        <w:t>PREDSJEDNICA</w:t>
      </w:r>
    </w:p>
    <w:p w14:paraId="26E63C3E" w14:textId="77777777" w:rsidR="00A04AAD" w:rsidRPr="003B03FB" w:rsidRDefault="00A04AAD" w:rsidP="00A04AAD">
      <w:pPr>
        <w:tabs>
          <w:tab w:val="center" w:pos="7655"/>
        </w:tabs>
        <w:spacing w:after="0"/>
        <w:rPr>
          <w:rFonts w:ascii="Times New Roman" w:hAnsi="Times New Roman" w:cs="Times New Roman"/>
          <w:color w:val="000000"/>
        </w:rPr>
      </w:pPr>
      <w:r w:rsidRPr="003B03FB">
        <w:rPr>
          <w:rFonts w:ascii="Times New Roman" w:hAnsi="Times New Roman" w:cs="Times New Roman"/>
          <w:color w:val="000000"/>
        </w:rPr>
        <w:tab/>
        <w:t>Ivana Bagarić</w:t>
      </w:r>
    </w:p>
    <w:p w14:paraId="69A1D0F7" w14:textId="77777777" w:rsidR="00A04AAD" w:rsidRPr="003B03FB" w:rsidRDefault="00A04AAD" w:rsidP="00A04AAD">
      <w:pPr>
        <w:tabs>
          <w:tab w:val="center" w:pos="7938"/>
        </w:tabs>
        <w:spacing w:after="0"/>
        <w:rPr>
          <w:rFonts w:ascii="Times New Roman" w:hAnsi="Times New Roman" w:cs="Times New Roman"/>
          <w:bCs/>
        </w:rPr>
      </w:pPr>
    </w:p>
    <w:p w14:paraId="7FDA87A4" w14:textId="77777777" w:rsidR="00A04AAD" w:rsidRPr="003B03FB" w:rsidRDefault="00A04AAD" w:rsidP="00A04AAD">
      <w:pPr>
        <w:tabs>
          <w:tab w:val="center" w:pos="7938"/>
        </w:tabs>
        <w:spacing w:after="0"/>
        <w:rPr>
          <w:rFonts w:ascii="Times New Roman" w:eastAsia="Times New Roman" w:hAnsi="Times New Roman" w:cs="Times New Roman"/>
          <w:bCs/>
        </w:rPr>
      </w:pPr>
    </w:p>
    <w:p w14:paraId="7D929EB4" w14:textId="77777777" w:rsidR="00A04AAD" w:rsidRDefault="00A04AAD" w:rsidP="00A04AAD">
      <w:pPr>
        <w:pStyle w:val="Default"/>
        <w:spacing w:line="360" w:lineRule="auto"/>
        <w:jc w:val="both"/>
      </w:pPr>
    </w:p>
    <w:p w14:paraId="5A2F055B" w14:textId="77777777" w:rsidR="00A04AAD" w:rsidRDefault="00A04AAD" w:rsidP="003B03FB">
      <w:pPr>
        <w:pStyle w:val="Default"/>
        <w:spacing w:line="360" w:lineRule="auto"/>
        <w:jc w:val="both"/>
      </w:pPr>
    </w:p>
    <w:sectPr w:rsidR="00A04AAD" w:rsidSect="003F377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23F0" w14:textId="77777777" w:rsidR="003F377C" w:rsidRDefault="003F377C" w:rsidP="006B46E4">
      <w:pPr>
        <w:spacing w:after="0" w:line="240" w:lineRule="auto"/>
      </w:pPr>
      <w:r>
        <w:separator/>
      </w:r>
    </w:p>
  </w:endnote>
  <w:endnote w:type="continuationSeparator" w:id="0">
    <w:p w14:paraId="736A9C16" w14:textId="77777777" w:rsidR="003F377C" w:rsidRDefault="003F377C" w:rsidP="006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0500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1168E31" w14:textId="48F59A94" w:rsidR="00177690" w:rsidRPr="00601B01" w:rsidRDefault="00177690">
        <w:pPr>
          <w:pStyle w:val="Podnoje"/>
          <w:jc w:val="right"/>
          <w:rPr>
            <w:rFonts w:ascii="Times New Roman" w:hAnsi="Times New Roman" w:cs="Times New Roman"/>
          </w:rPr>
        </w:pPr>
        <w:r w:rsidRPr="00601B01">
          <w:rPr>
            <w:rFonts w:ascii="Times New Roman" w:hAnsi="Times New Roman" w:cs="Times New Roman"/>
          </w:rPr>
          <w:fldChar w:fldCharType="begin"/>
        </w:r>
        <w:r w:rsidRPr="00601B01">
          <w:rPr>
            <w:rFonts w:ascii="Times New Roman" w:hAnsi="Times New Roman" w:cs="Times New Roman"/>
          </w:rPr>
          <w:instrText xml:space="preserve"> PAGE   \* MERGEFORMAT </w:instrText>
        </w:r>
        <w:r w:rsidRPr="00601B01">
          <w:rPr>
            <w:rFonts w:ascii="Times New Roman" w:hAnsi="Times New Roman" w:cs="Times New Roman"/>
          </w:rPr>
          <w:fldChar w:fldCharType="separate"/>
        </w:r>
        <w:r w:rsidR="008403AB">
          <w:rPr>
            <w:rFonts w:ascii="Times New Roman" w:hAnsi="Times New Roman" w:cs="Times New Roman"/>
            <w:noProof/>
          </w:rPr>
          <w:t>24</w:t>
        </w:r>
        <w:r w:rsidRPr="00601B0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1A5300" w14:textId="77777777" w:rsidR="00177690" w:rsidRDefault="001776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FCA" w14:textId="77777777" w:rsidR="003F377C" w:rsidRDefault="003F377C" w:rsidP="006B46E4">
      <w:pPr>
        <w:spacing w:after="0" w:line="240" w:lineRule="auto"/>
      </w:pPr>
      <w:r>
        <w:separator/>
      </w:r>
    </w:p>
  </w:footnote>
  <w:footnote w:type="continuationSeparator" w:id="0">
    <w:p w14:paraId="74627325" w14:textId="77777777" w:rsidR="003F377C" w:rsidRDefault="003F377C" w:rsidP="006B46E4">
      <w:pPr>
        <w:spacing w:after="0" w:line="240" w:lineRule="auto"/>
      </w:pPr>
      <w:r>
        <w:continuationSeparator/>
      </w:r>
    </w:p>
  </w:footnote>
  <w:footnote w:id="1">
    <w:p w14:paraId="62120B91" w14:textId="00199E37" w:rsidR="00177690" w:rsidRPr="006B46E4" w:rsidRDefault="00177690" w:rsidP="006B46E4">
      <w:pPr>
        <w:pStyle w:val="Tekstfusnote"/>
        <w:jc w:val="both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2E6CEB">
        <w:rPr>
          <w:rFonts w:ascii="Times New Roman" w:hAnsi="Times New Roman" w:cs="Times New Roman"/>
        </w:rPr>
        <w:t>Uredba o smjernicama</w:t>
      </w:r>
      <w:r w:rsidRPr="006B46E4">
        <w:rPr>
          <w:rFonts w:ascii="Times New Roman" w:hAnsi="Times New Roman" w:cs="Times New Roman"/>
        </w:rPr>
        <w:t xml:space="preserve"> za izradu akata strateškog planiranja od nacionalnog značaja i od značaja za jedinice lokalne i područne (regionalne) samouprave ("Narodne novine" broj </w:t>
      </w:r>
      <w:r w:rsidR="002E6CEB">
        <w:rPr>
          <w:rFonts w:ascii="Times New Roman" w:hAnsi="Times New Roman" w:cs="Times New Roman"/>
        </w:rPr>
        <w:t>37</w:t>
      </w:r>
      <w:r w:rsidRPr="006B46E4">
        <w:rPr>
          <w:rFonts w:ascii="Times New Roman" w:hAnsi="Times New Roman" w:cs="Times New Roman"/>
        </w:rPr>
        <w:t>/</w:t>
      </w:r>
      <w:r w:rsidR="002E6CEB">
        <w:rPr>
          <w:rFonts w:ascii="Times New Roman" w:hAnsi="Times New Roman" w:cs="Times New Roman"/>
        </w:rPr>
        <w:t>23</w:t>
      </w:r>
      <w:r w:rsidRPr="006B46E4">
        <w:rPr>
          <w:rFonts w:ascii="Times New Roman" w:hAnsi="Times New Roman" w:cs="Times New Roman"/>
        </w:rPr>
        <w:t>.) i Pravilnik o rokovima i postupcima praćenja i izvje</w:t>
      </w:r>
      <w:r w:rsidR="008A5A1D">
        <w:rPr>
          <w:rFonts w:ascii="Times New Roman" w:hAnsi="Times New Roman" w:cs="Times New Roman"/>
        </w:rPr>
        <w:t>šćivanja</w:t>
      </w:r>
      <w:r w:rsidRPr="006B46E4">
        <w:rPr>
          <w:rFonts w:ascii="Times New Roman" w:hAnsi="Times New Roman" w:cs="Times New Roman"/>
        </w:rPr>
        <w:t xml:space="preserve"> o provedbi akata strateškog planiranja od nacionalnog značaja i od značaja za jedinice lokalne i područne (regionalne) samouprave ("Narodne novine" broj </w:t>
      </w:r>
      <w:r w:rsidR="002E6CEB">
        <w:rPr>
          <w:rFonts w:ascii="Times New Roman" w:hAnsi="Times New Roman" w:cs="Times New Roman"/>
        </w:rPr>
        <w:t>44</w:t>
      </w:r>
      <w:r w:rsidRPr="006B46E4">
        <w:rPr>
          <w:rFonts w:ascii="Times New Roman" w:hAnsi="Times New Roman" w:cs="Times New Roman"/>
        </w:rPr>
        <w:t>/</w:t>
      </w:r>
      <w:r w:rsidR="002E6CEB">
        <w:rPr>
          <w:rFonts w:ascii="Times New Roman" w:hAnsi="Times New Roman" w:cs="Times New Roman"/>
        </w:rPr>
        <w:t>23</w:t>
      </w:r>
      <w:r w:rsidRPr="006B46E4">
        <w:rPr>
          <w:rFonts w:ascii="Times New Roman" w:hAnsi="Times New Roman" w:cs="Times New Roman"/>
        </w:rPr>
        <w:t>.).</w:t>
      </w:r>
    </w:p>
  </w:footnote>
  <w:footnote w:id="2">
    <w:p w14:paraId="31AF3AED" w14:textId="6DE22ED3" w:rsidR="00BF0C0C" w:rsidRPr="00BF0C0C" w:rsidRDefault="00BF0C0C" w:rsidP="00BF0C0C">
      <w:pPr>
        <w:pStyle w:val="Tekstfusnote"/>
        <w:rPr>
          <w:rFonts w:ascii="Times New Roman" w:hAnsi="Times New Roman" w:cs="Times New Roman"/>
        </w:rPr>
      </w:pPr>
      <w:r>
        <w:rPr>
          <w:rStyle w:val="Referencafusnote"/>
        </w:rPr>
        <w:footnoteRef/>
      </w:r>
      <w:r>
        <w:t xml:space="preserve"> </w:t>
      </w:r>
      <w:r w:rsidRPr="00BF0C0C">
        <w:rPr>
          <w:rFonts w:ascii="Times New Roman" w:hAnsi="Times New Roman" w:cs="Times New Roman"/>
        </w:rPr>
        <w:t>Stopa recikliranja komunalnog otpada jednaka je stopi oporabe komunalnog otpada.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587A8E"/>
    <w:multiLevelType w:val="hybridMultilevel"/>
    <w:tmpl w:val="99BB8D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EB9736"/>
    <w:multiLevelType w:val="hybridMultilevel"/>
    <w:tmpl w:val="C7034F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0C13F3"/>
    <w:multiLevelType w:val="hybridMultilevel"/>
    <w:tmpl w:val="CE52CF86"/>
    <w:lvl w:ilvl="0" w:tplc="19449918">
      <w:start w:val="3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FC06FE"/>
    <w:multiLevelType w:val="hybridMultilevel"/>
    <w:tmpl w:val="CE46F290"/>
    <w:lvl w:ilvl="0" w:tplc="4AE80B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408F"/>
    <w:multiLevelType w:val="hybridMultilevel"/>
    <w:tmpl w:val="2DF585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65670799">
    <w:abstractNumId w:val="1"/>
  </w:num>
  <w:num w:numId="2" w16cid:durableId="592905999">
    <w:abstractNumId w:val="4"/>
  </w:num>
  <w:num w:numId="3" w16cid:durableId="300042963">
    <w:abstractNumId w:val="0"/>
  </w:num>
  <w:num w:numId="4" w16cid:durableId="1393964121">
    <w:abstractNumId w:val="2"/>
  </w:num>
  <w:num w:numId="5" w16cid:durableId="589002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1D"/>
    <w:rsid w:val="00002157"/>
    <w:rsid w:val="00002A17"/>
    <w:rsid w:val="00005E7A"/>
    <w:rsid w:val="00010461"/>
    <w:rsid w:val="0002342C"/>
    <w:rsid w:val="00027E68"/>
    <w:rsid w:val="00032129"/>
    <w:rsid w:val="00035B79"/>
    <w:rsid w:val="000423C0"/>
    <w:rsid w:val="0004396A"/>
    <w:rsid w:val="000518FC"/>
    <w:rsid w:val="00051D1B"/>
    <w:rsid w:val="0005244B"/>
    <w:rsid w:val="00052548"/>
    <w:rsid w:val="00054106"/>
    <w:rsid w:val="00054D22"/>
    <w:rsid w:val="000618F9"/>
    <w:rsid w:val="00065CA4"/>
    <w:rsid w:val="000753F8"/>
    <w:rsid w:val="00082952"/>
    <w:rsid w:val="000A0F79"/>
    <w:rsid w:val="000C19E7"/>
    <w:rsid w:val="000C764A"/>
    <w:rsid w:val="000E7F48"/>
    <w:rsid w:val="000F1313"/>
    <w:rsid w:val="0010243C"/>
    <w:rsid w:val="00102A8C"/>
    <w:rsid w:val="00102BC3"/>
    <w:rsid w:val="001049FC"/>
    <w:rsid w:val="00133127"/>
    <w:rsid w:val="00134E28"/>
    <w:rsid w:val="00137F49"/>
    <w:rsid w:val="00166686"/>
    <w:rsid w:val="00175C80"/>
    <w:rsid w:val="00177690"/>
    <w:rsid w:val="00180C31"/>
    <w:rsid w:val="00186FEE"/>
    <w:rsid w:val="00191B17"/>
    <w:rsid w:val="00193757"/>
    <w:rsid w:val="00196073"/>
    <w:rsid w:val="001B08A3"/>
    <w:rsid w:val="001B7BEB"/>
    <w:rsid w:val="001B7E1B"/>
    <w:rsid w:val="001C1FE3"/>
    <w:rsid w:val="001C562D"/>
    <w:rsid w:val="001E677E"/>
    <w:rsid w:val="001E7E51"/>
    <w:rsid w:val="00235C30"/>
    <w:rsid w:val="00241383"/>
    <w:rsid w:val="0024155B"/>
    <w:rsid w:val="00241A8D"/>
    <w:rsid w:val="00243322"/>
    <w:rsid w:val="00245E21"/>
    <w:rsid w:val="00246CE2"/>
    <w:rsid w:val="00267FFA"/>
    <w:rsid w:val="00271793"/>
    <w:rsid w:val="002818CA"/>
    <w:rsid w:val="00287155"/>
    <w:rsid w:val="002A0696"/>
    <w:rsid w:val="002A212E"/>
    <w:rsid w:val="002A3AF9"/>
    <w:rsid w:val="002A7CCF"/>
    <w:rsid w:val="002B004F"/>
    <w:rsid w:val="002B1175"/>
    <w:rsid w:val="002B2CFB"/>
    <w:rsid w:val="002B52FA"/>
    <w:rsid w:val="002B763D"/>
    <w:rsid w:val="002C14F5"/>
    <w:rsid w:val="002D20E2"/>
    <w:rsid w:val="002E6CEB"/>
    <w:rsid w:val="002E767C"/>
    <w:rsid w:val="0030304C"/>
    <w:rsid w:val="00307E0B"/>
    <w:rsid w:val="003230A3"/>
    <w:rsid w:val="00324F82"/>
    <w:rsid w:val="0032554C"/>
    <w:rsid w:val="00332C3C"/>
    <w:rsid w:val="00345B4B"/>
    <w:rsid w:val="0035237B"/>
    <w:rsid w:val="00354F28"/>
    <w:rsid w:val="00362563"/>
    <w:rsid w:val="00364FA1"/>
    <w:rsid w:val="00365A64"/>
    <w:rsid w:val="0037198D"/>
    <w:rsid w:val="00372E68"/>
    <w:rsid w:val="00376E2D"/>
    <w:rsid w:val="00384F0B"/>
    <w:rsid w:val="00396A29"/>
    <w:rsid w:val="003A1B40"/>
    <w:rsid w:val="003B03FB"/>
    <w:rsid w:val="003B22F5"/>
    <w:rsid w:val="003C1164"/>
    <w:rsid w:val="003C388B"/>
    <w:rsid w:val="003E5A82"/>
    <w:rsid w:val="003F377C"/>
    <w:rsid w:val="003F3C82"/>
    <w:rsid w:val="003F7BF3"/>
    <w:rsid w:val="00404F7E"/>
    <w:rsid w:val="0042775F"/>
    <w:rsid w:val="00442A2D"/>
    <w:rsid w:val="0044567C"/>
    <w:rsid w:val="00462B10"/>
    <w:rsid w:val="004634CE"/>
    <w:rsid w:val="004648D0"/>
    <w:rsid w:val="00465C8C"/>
    <w:rsid w:val="00485974"/>
    <w:rsid w:val="0048627C"/>
    <w:rsid w:val="004B6871"/>
    <w:rsid w:val="004F6B8C"/>
    <w:rsid w:val="00502396"/>
    <w:rsid w:val="005055BF"/>
    <w:rsid w:val="0051515D"/>
    <w:rsid w:val="00517EC1"/>
    <w:rsid w:val="0053123C"/>
    <w:rsid w:val="00531B00"/>
    <w:rsid w:val="0054160C"/>
    <w:rsid w:val="0055195E"/>
    <w:rsid w:val="00555CAD"/>
    <w:rsid w:val="005639C6"/>
    <w:rsid w:val="00567D8A"/>
    <w:rsid w:val="00575A5C"/>
    <w:rsid w:val="00591A1E"/>
    <w:rsid w:val="00593AA2"/>
    <w:rsid w:val="00595A57"/>
    <w:rsid w:val="005B2973"/>
    <w:rsid w:val="005C159F"/>
    <w:rsid w:val="005C331D"/>
    <w:rsid w:val="005C5AE9"/>
    <w:rsid w:val="005C7D12"/>
    <w:rsid w:val="005D41BF"/>
    <w:rsid w:val="005D707A"/>
    <w:rsid w:val="005F0670"/>
    <w:rsid w:val="00601B01"/>
    <w:rsid w:val="00605C80"/>
    <w:rsid w:val="00610413"/>
    <w:rsid w:val="006126AF"/>
    <w:rsid w:val="006158FE"/>
    <w:rsid w:val="00620D7D"/>
    <w:rsid w:val="006222A8"/>
    <w:rsid w:val="00622F9D"/>
    <w:rsid w:val="00650AF8"/>
    <w:rsid w:val="00650F05"/>
    <w:rsid w:val="00651CA2"/>
    <w:rsid w:val="006523D4"/>
    <w:rsid w:val="00657A0E"/>
    <w:rsid w:val="006637E7"/>
    <w:rsid w:val="006702E0"/>
    <w:rsid w:val="00693277"/>
    <w:rsid w:val="00694398"/>
    <w:rsid w:val="006970E6"/>
    <w:rsid w:val="006A3C61"/>
    <w:rsid w:val="006A4740"/>
    <w:rsid w:val="006A746A"/>
    <w:rsid w:val="006B46E4"/>
    <w:rsid w:val="006B4D22"/>
    <w:rsid w:val="006C2594"/>
    <w:rsid w:val="006C27EF"/>
    <w:rsid w:val="006E3ABB"/>
    <w:rsid w:val="006E7173"/>
    <w:rsid w:val="006F368B"/>
    <w:rsid w:val="006F6F92"/>
    <w:rsid w:val="0070725D"/>
    <w:rsid w:val="00726C1E"/>
    <w:rsid w:val="007303E1"/>
    <w:rsid w:val="00731216"/>
    <w:rsid w:val="00734433"/>
    <w:rsid w:val="007344DF"/>
    <w:rsid w:val="007374AD"/>
    <w:rsid w:val="00741A6C"/>
    <w:rsid w:val="00742535"/>
    <w:rsid w:val="00750439"/>
    <w:rsid w:val="0075450C"/>
    <w:rsid w:val="00756EA6"/>
    <w:rsid w:val="0076403D"/>
    <w:rsid w:val="00774434"/>
    <w:rsid w:val="00783A90"/>
    <w:rsid w:val="007860CF"/>
    <w:rsid w:val="00786C5D"/>
    <w:rsid w:val="00786EC9"/>
    <w:rsid w:val="00787141"/>
    <w:rsid w:val="007B3E4E"/>
    <w:rsid w:val="007C1E66"/>
    <w:rsid w:val="007C574A"/>
    <w:rsid w:val="007D3F16"/>
    <w:rsid w:val="007D725E"/>
    <w:rsid w:val="007E4A3E"/>
    <w:rsid w:val="007F0F83"/>
    <w:rsid w:val="007F3E56"/>
    <w:rsid w:val="007F47D1"/>
    <w:rsid w:val="00802224"/>
    <w:rsid w:val="008043B8"/>
    <w:rsid w:val="00816A7E"/>
    <w:rsid w:val="00831E2F"/>
    <w:rsid w:val="008403AB"/>
    <w:rsid w:val="008437B5"/>
    <w:rsid w:val="008476DE"/>
    <w:rsid w:val="00852A05"/>
    <w:rsid w:val="00855612"/>
    <w:rsid w:val="0087083B"/>
    <w:rsid w:val="008735B0"/>
    <w:rsid w:val="00874327"/>
    <w:rsid w:val="0088130A"/>
    <w:rsid w:val="00885BC3"/>
    <w:rsid w:val="008900BE"/>
    <w:rsid w:val="008A5A1D"/>
    <w:rsid w:val="008A7E73"/>
    <w:rsid w:val="008B54D2"/>
    <w:rsid w:val="008D6CF3"/>
    <w:rsid w:val="008E3201"/>
    <w:rsid w:val="008E7F33"/>
    <w:rsid w:val="008F414F"/>
    <w:rsid w:val="00902740"/>
    <w:rsid w:val="00912DBA"/>
    <w:rsid w:val="0091300A"/>
    <w:rsid w:val="0092224D"/>
    <w:rsid w:val="009306EB"/>
    <w:rsid w:val="00945E62"/>
    <w:rsid w:val="00951868"/>
    <w:rsid w:val="009544C5"/>
    <w:rsid w:val="00962438"/>
    <w:rsid w:val="00964F2C"/>
    <w:rsid w:val="009733DD"/>
    <w:rsid w:val="009814BC"/>
    <w:rsid w:val="009861FF"/>
    <w:rsid w:val="0098677C"/>
    <w:rsid w:val="00993CA3"/>
    <w:rsid w:val="009B0CD7"/>
    <w:rsid w:val="009B59D5"/>
    <w:rsid w:val="009B5FD8"/>
    <w:rsid w:val="009C042A"/>
    <w:rsid w:val="009E1C6B"/>
    <w:rsid w:val="009E6FA8"/>
    <w:rsid w:val="009F74D7"/>
    <w:rsid w:val="00A04AAD"/>
    <w:rsid w:val="00A04D3A"/>
    <w:rsid w:val="00A1248C"/>
    <w:rsid w:val="00A1267D"/>
    <w:rsid w:val="00A13582"/>
    <w:rsid w:val="00A43FE4"/>
    <w:rsid w:val="00A56D50"/>
    <w:rsid w:val="00A574E9"/>
    <w:rsid w:val="00A60B0A"/>
    <w:rsid w:val="00A664EC"/>
    <w:rsid w:val="00A961BD"/>
    <w:rsid w:val="00AA6775"/>
    <w:rsid w:val="00AB32EB"/>
    <w:rsid w:val="00AB4928"/>
    <w:rsid w:val="00AB7BE1"/>
    <w:rsid w:val="00AC0827"/>
    <w:rsid w:val="00AC4318"/>
    <w:rsid w:val="00AD03D2"/>
    <w:rsid w:val="00AD1A75"/>
    <w:rsid w:val="00AE5B20"/>
    <w:rsid w:val="00B03123"/>
    <w:rsid w:val="00B121F6"/>
    <w:rsid w:val="00B1284F"/>
    <w:rsid w:val="00B219E8"/>
    <w:rsid w:val="00B31263"/>
    <w:rsid w:val="00B56FF4"/>
    <w:rsid w:val="00B60EA4"/>
    <w:rsid w:val="00B7471D"/>
    <w:rsid w:val="00B804EE"/>
    <w:rsid w:val="00B830FB"/>
    <w:rsid w:val="00BA3D7B"/>
    <w:rsid w:val="00BB7155"/>
    <w:rsid w:val="00BC5CB0"/>
    <w:rsid w:val="00BD41ED"/>
    <w:rsid w:val="00BD464C"/>
    <w:rsid w:val="00BD63BE"/>
    <w:rsid w:val="00BD7306"/>
    <w:rsid w:val="00BE528C"/>
    <w:rsid w:val="00BF0C0C"/>
    <w:rsid w:val="00BF1481"/>
    <w:rsid w:val="00BF269A"/>
    <w:rsid w:val="00C0009D"/>
    <w:rsid w:val="00C04A02"/>
    <w:rsid w:val="00C05C7A"/>
    <w:rsid w:val="00C06C75"/>
    <w:rsid w:val="00C17E2B"/>
    <w:rsid w:val="00C35691"/>
    <w:rsid w:val="00C43B3E"/>
    <w:rsid w:val="00C51F1B"/>
    <w:rsid w:val="00C533BE"/>
    <w:rsid w:val="00C54A63"/>
    <w:rsid w:val="00C60AF9"/>
    <w:rsid w:val="00C628AF"/>
    <w:rsid w:val="00CA2787"/>
    <w:rsid w:val="00CA5585"/>
    <w:rsid w:val="00CB14C3"/>
    <w:rsid w:val="00CB3702"/>
    <w:rsid w:val="00CB5311"/>
    <w:rsid w:val="00CC0BF1"/>
    <w:rsid w:val="00CC3117"/>
    <w:rsid w:val="00CC361D"/>
    <w:rsid w:val="00CC71B6"/>
    <w:rsid w:val="00CD2BCE"/>
    <w:rsid w:val="00CD5153"/>
    <w:rsid w:val="00CF4A69"/>
    <w:rsid w:val="00D16AC6"/>
    <w:rsid w:val="00D26078"/>
    <w:rsid w:val="00D26888"/>
    <w:rsid w:val="00D34C1E"/>
    <w:rsid w:val="00D35FDE"/>
    <w:rsid w:val="00D367BB"/>
    <w:rsid w:val="00D51313"/>
    <w:rsid w:val="00D536AF"/>
    <w:rsid w:val="00D64722"/>
    <w:rsid w:val="00D735E1"/>
    <w:rsid w:val="00D74405"/>
    <w:rsid w:val="00D867BD"/>
    <w:rsid w:val="00D91357"/>
    <w:rsid w:val="00D93075"/>
    <w:rsid w:val="00D962A6"/>
    <w:rsid w:val="00DA7F99"/>
    <w:rsid w:val="00DB5319"/>
    <w:rsid w:val="00DC22C2"/>
    <w:rsid w:val="00DC6602"/>
    <w:rsid w:val="00DC77CE"/>
    <w:rsid w:val="00DF1A71"/>
    <w:rsid w:val="00E04467"/>
    <w:rsid w:val="00E04792"/>
    <w:rsid w:val="00E148C0"/>
    <w:rsid w:val="00E16209"/>
    <w:rsid w:val="00E17EC8"/>
    <w:rsid w:val="00E2055A"/>
    <w:rsid w:val="00E24C40"/>
    <w:rsid w:val="00E47B5A"/>
    <w:rsid w:val="00E54978"/>
    <w:rsid w:val="00E552B5"/>
    <w:rsid w:val="00E57A3E"/>
    <w:rsid w:val="00E7653C"/>
    <w:rsid w:val="00E803F9"/>
    <w:rsid w:val="00E81F16"/>
    <w:rsid w:val="00E90857"/>
    <w:rsid w:val="00E9550A"/>
    <w:rsid w:val="00E9692B"/>
    <w:rsid w:val="00EA2A2D"/>
    <w:rsid w:val="00EB370C"/>
    <w:rsid w:val="00EB5792"/>
    <w:rsid w:val="00EB7D54"/>
    <w:rsid w:val="00EC2B5D"/>
    <w:rsid w:val="00EC54FD"/>
    <w:rsid w:val="00ED086D"/>
    <w:rsid w:val="00ED0EF9"/>
    <w:rsid w:val="00ED1411"/>
    <w:rsid w:val="00ED23F4"/>
    <w:rsid w:val="00ED2B38"/>
    <w:rsid w:val="00EF01AE"/>
    <w:rsid w:val="00EF7D56"/>
    <w:rsid w:val="00F0378E"/>
    <w:rsid w:val="00F03D25"/>
    <w:rsid w:val="00F211C7"/>
    <w:rsid w:val="00F37349"/>
    <w:rsid w:val="00F40CAC"/>
    <w:rsid w:val="00F47A21"/>
    <w:rsid w:val="00F51D5F"/>
    <w:rsid w:val="00F62934"/>
    <w:rsid w:val="00F7167A"/>
    <w:rsid w:val="00F72C24"/>
    <w:rsid w:val="00F802DC"/>
    <w:rsid w:val="00F93880"/>
    <w:rsid w:val="00FA296B"/>
    <w:rsid w:val="00FA4D7F"/>
    <w:rsid w:val="00FB07EE"/>
    <w:rsid w:val="00FB365B"/>
    <w:rsid w:val="00FB6800"/>
    <w:rsid w:val="00FC11CE"/>
    <w:rsid w:val="00FC3FD0"/>
    <w:rsid w:val="00FC6B57"/>
    <w:rsid w:val="00FD70AA"/>
    <w:rsid w:val="00FF15B7"/>
    <w:rsid w:val="00FF66B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2E062"/>
  <w15:chartTrackingRefBased/>
  <w15:docId w15:val="{7BD8CF94-48FD-45AC-8766-350944F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45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FF15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5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45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945E62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945E6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45E62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45E6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945E6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4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91B17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B46E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6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46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A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5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44B"/>
  </w:style>
  <w:style w:type="paragraph" w:styleId="Podnoje">
    <w:name w:val="footer"/>
    <w:basedOn w:val="Normal"/>
    <w:link w:val="PodnojeChar"/>
    <w:uiPriority w:val="99"/>
    <w:unhideWhenUsed/>
    <w:rsid w:val="0005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44B"/>
  </w:style>
  <w:style w:type="character" w:customStyle="1" w:styleId="fontstyle01">
    <w:name w:val="fontstyle01"/>
    <w:rsid w:val="00D867B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slov3Char">
    <w:name w:val="Naslov 3 Char"/>
    <w:basedOn w:val="Zadanifontodlomka"/>
    <w:link w:val="Naslov3"/>
    <w:rsid w:val="00FF15B7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FF15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F15B7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FF1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F15B7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aliases w:val="  uvlaka 2, uvlaka 3"/>
    <w:basedOn w:val="Normal"/>
    <w:link w:val="TijelotekstaChar"/>
    <w:rsid w:val="00FF15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F15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4A9E-DC4D-45F8-A204-F8C69766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29</Pages>
  <Words>9274</Words>
  <Characters>52867</Characters>
  <Application>Microsoft Office Word</Application>
  <DocSecurity>0</DocSecurity>
  <Lines>440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Adrijana Bonić</cp:lastModifiedBy>
  <cp:revision>35</cp:revision>
  <cp:lastPrinted>2024-02-23T10:18:00Z</cp:lastPrinted>
  <dcterms:created xsi:type="dcterms:W3CDTF">2024-02-23T10:18:00Z</dcterms:created>
  <dcterms:modified xsi:type="dcterms:W3CDTF">2024-03-14T07:23:00Z</dcterms:modified>
</cp:coreProperties>
</file>